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66" w:rsidRPr="00202E66" w:rsidRDefault="00202E66" w:rsidP="00202E66">
      <w:pPr>
        <w:jc w:val="both"/>
        <w:rPr>
          <w:b/>
          <w:sz w:val="24"/>
          <w:szCs w:val="24"/>
        </w:rPr>
      </w:pPr>
      <w:r w:rsidRPr="00202E66">
        <w:rPr>
          <w:b/>
          <w:sz w:val="24"/>
          <w:szCs w:val="24"/>
        </w:rPr>
        <w:t>ΕΝΔΕΙΚΤΙΚΕΣ ΑΠΑΝΤΗΣΕΙΣ ΘΕΜΑ 4</w:t>
      </w:r>
      <w:r w:rsidRPr="00202E66">
        <w:rPr>
          <w:b/>
          <w:sz w:val="24"/>
          <w:szCs w:val="24"/>
          <w:vertAlign w:val="superscript"/>
        </w:rPr>
        <w:t>ο</w:t>
      </w:r>
      <w:r w:rsidRPr="00202E66">
        <w:rPr>
          <w:b/>
          <w:sz w:val="24"/>
          <w:szCs w:val="24"/>
        </w:rPr>
        <w:t xml:space="preserve"> </w:t>
      </w:r>
    </w:p>
    <w:p w:rsidR="00202E66" w:rsidRDefault="00202E66" w:rsidP="00202E66">
      <w:pPr>
        <w:jc w:val="both"/>
        <w:rPr>
          <w:sz w:val="24"/>
          <w:szCs w:val="24"/>
        </w:rPr>
      </w:pPr>
      <w:r w:rsidRPr="00202E66">
        <w:rPr>
          <w:sz w:val="24"/>
          <w:szCs w:val="24"/>
        </w:rPr>
        <w:t>Στις αεροπορικές μεταφορές χρησιμοποιείται ευρύτατα η έννοια του ογκομετρικού βάρους, δηλα</w:t>
      </w:r>
      <w:bookmarkStart w:id="0" w:name="_GoBack"/>
      <w:bookmarkEnd w:id="0"/>
      <w:r w:rsidRPr="00202E66">
        <w:rPr>
          <w:sz w:val="24"/>
          <w:szCs w:val="24"/>
        </w:rPr>
        <w:t>δή ο όγκος του φορτίου μετατρέπεται σε μια «θεωρητική μονάδα βάρους», η οποία βασίζεται σε μία αντιστοιχία του πόσο βάρος και πόσο όγκο μπορεί να μεταφέρει ένα αεροσκάφος.</w:t>
      </w:r>
    </w:p>
    <w:p w:rsidR="00807903" w:rsidRDefault="00202E66" w:rsidP="00202E66">
      <w:pPr>
        <w:jc w:val="both"/>
        <w:rPr>
          <w:sz w:val="24"/>
          <w:szCs w:val="24"/>
        </w:rPr>
      </w:pPr>
      <w:r w:rsidRPr="00202E66">
        <w:rPr>
          <w:sz w:val="24"/>
          <w:szCs w:val="24"/>
        </w:rPr>
        <w:t>Για να το πούμε πιο απλά: επειδή υπάρχουν φορτία βαριά σε σχέση με τον όγκο τους και πολύ ογκώδη σε σχέση με το βάρος τους θα έπρεπε να υπάρχουν δύο αντίστοιχοι τιμοκατάλογοι ναύλων. Για να απλοποιηθεί η κοστολόγηση μετατρέπεται (θεωρητικά) ο όγκος σε κιλά, οπότε τα ογκώδη φορτία τιμολογούνται με αντιστοιχία βάρους. Η σχέση αυτή συνήθως είναι 1/6, δηλαδή ένας τόνος φορτίου ισοδυναμεί με 6 κυβικά μέτρα.</w:t>
      </w:r>
    </w:p>
    <w:p w:rsidR="00FE175F" w:rsidRPr="00202E66" w:rsidRDefault="00FE175F" w:rsidP="00FE175F">
      <w:pPr>
        <w:jc w:val="right"/>
        <w:rPr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6908D6">
        <w:rPr>
          <w:rFonts w:cstheme="minorHAnsi"/>
          <w:b/>
          <w:sz w:val="24"/>
          <w:szCs w:val="24"/>
        </w:rPr>
        <w:t>)</w:t>
      </w:r>
    </w:p>
    <w:sectPr w:rsidR="00FE175F" w:rsidRPr="00202E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66"/>
    <w:rsid w:val="00202E66"/>
    <w:rsid w:val="00807903"/>
    <w:rsid w:val="00F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dcterms:created xsi:type="dcterms:W3CDTF">2024-03-30T15:02:00Z</dcterms:created>
  <dcterms:modified xsi:type="dcterms:W3CDTF">2024-03-30T15:04:00Z</dcterms:modified>
</cp:coreProperties>
</file>