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8F6" w:rsidRPr="008218F6" w:rsidRDefault="008218F6" w:rsidP="008218F6">
      <w:pPr>
        <w:jc w:val="both"/>
        <w:rPr>
          <w:b/>
          <w:sz w:val="24"/>
          <w:szCs w:val="24"/>
        </w:rPr>
      </w:pPr>
      <w:r w:rsidRPr="008218F6">
        <w:rPr>
          <w:b/>
          <w:sz w:val="24"/>
          <w:szCs w:val="24"/>
        </w:rPr>
        <w:t>ΕΝΔΕΙΚΤΙΚΕΣ ΑΠΑΝΤΗΣΕΙΣ ΘΕΜΑ 4</w:t>
      </w:r>
      <w:r w:rsidRPr="008218F6">
        <w:rPr>
          <w:b/>
          <w:sz w:val="24"/>
          <w:szCs w:val="24"/>
          <w:vertAlign w:val="superscript"/>
        </w:rPr>
        <w:t>ο</w:t>
      </w:r>
    </w:p>
    <w:p w:rsidR="008218F6" w:rsidRDefault="008218F6" w:rsidP="008218F6">
      <w:pPr>
        <w:jc w:val="both"/>
        <w:rPr>
          <w:sz w:val="24"/>
          <w:szCs w:val="24"/>
        </w:rPr>
      </w:pPr>
      <w:r>
        <w:rPr>
          <w:sz w:val="24"/>
          <w:szCs w:val="24"/>
        </w:rPr>
        <w:t>α</w:t>
      </w:r>
      <w:r w:rsidRPr="008218F6">
        <w:rPr>
          <w:sz w:val="24"/>
          <w:szCs w:val="24"/>
        </w:rPr>
        <w:t xml:space="preserve">) Στην περίπτωση (κυρίως) των φορτηγών και των εμπορευματοκιβωτίων άλλη μία κατηγοριοποίηση φορτίων που έχει πολύ μεγάλη σημασία για την επιλογή μεταφορικού μέσου, τον τρόπο συσκευασίας τους, το κόστος μεταφοράς, την ασφάλειά τους κλπ, είναι ο όγκος της μεταφερόμενης ποσότητας σε σχέση με το μεταφορικό μέσο. Έτσι θα συναντήσουμε τις περιπτώσεις: </w:t>
      </w:r>
    </w:p>
    <w:p w:rsidR="008218F6" w:rsidRPr="008218F6" w:rsidRDefault="008218F6" w:rsidP="008218F6">
      <w:pPr>
        <w:pStyle w:val="ListParagraph"/>
        <w:numPr>
          <w:ilvl w:val="0"/>
          <w:numId w:val="1"/>
        </w:numPr>
        <w:jc w:val="both"/>
        <w:rPr>
          <w:sz w:val="24"/>
          <w:szCs w:val="24"/>
        </w:rPr>
      </w:pPr>
      <w:r w:rsidRPr="008218F6">
        <w:rPr>
          <w:sz w:val="24"/>
          <w:szCs w:val="24"/>
        </w:rPr>
        <w:t>FTL (Full Truck Load): Ποσότητα που γεμίζει πλήρως ένα φορτηγό, συνήθως επικαθήμενο.</w:t>
      </w:r>
    </w:p>
    <w:p w:rsidR="008218F6" w:rsidRPr="008218F6" w:rsidRDefault="008218F6" w:rsidP="008218F6">
      <w:pPr>
        <w:pStyle w:val="ListParagraph"/>
        <w:numPr>
          <w:ilvl w:val="0"/>
          <w:numId w:val="1"/>
        </w:numPr>
        <w:jc w:val="both"/>
        <w:rPr>
          <w:sz w:val="24"/>
          <w:szCs w:val="24"/>
        </w:rPr>
      </w:pPr>
      <w:r w:rsidRPr="008218F6">
        <w:rPr>
          <w:sz w:val="24"/>
          <w:szCs w:val="24"/>
        </w:rPr>
        <w:t xml:space="preserve">LTL (Less Truck Load): Ποσότητα που δεν γεμίζει πλήρως ένα φορτηγό, αλλά πραγματοποιείται συμφόρτωση και μεταφορά μαζί με μικροποσότητες φορτίων που ανήκουν σε άλλους αποστολείς / παραλήπτες. </w:t>
      </w:r>
    </w:p>
    <w:p w:rsidR="008218F6" w:rsidRPr="008218F6" w:rsidRDefault="008218F6" w:rsidP="008218F6">
      <w:pPr>
        <w:pStyle w:val="ListParagraph"/>
        <w:numPr>
          <w:ilvl w:val="0"/>
          <w:numId w:val="1"/>
        </w:numPr>
        <w:jc w:val="both"/>
        <w:rPr>
          <w:sz w:val="24"/>
          <w:szCs w:val="24"/>
        </w:rPr>
      </w:pPr>
      <w:r w:rsidRPr="008218F6">
        <w:rPr>
          <w:sz w:val="24"/>
          <w:szCs w:val="24"/>
        </w:rPr>
        <w:t xml:space="preserve">FCL (Full Container Load): Ποσότητα που γεμίζει πλήρως ένα container, ανεξαρτήτως μεγέθους και τύπου. </w:t>
      </w:r>
      <w:bookmarkStart w:id="0" w:name="_GoBack"/>
      <w:bookmarkEnd w:id="0"/>
    </w:p>
    <w:p w:rsidR="00807903" w:rsidRDefault="008218F6" w:rsidP="008218F6">
      <w:pPr>
        <w:pStyle w:val="ListParagraph"/>
        <w:numPr>
          <w:ilvl w:val="0"/>
          <w:numId w:val="1"/>
        </w:numPr>
        <w:jc w:val="both"/>
        <w:rPr>
          <w:sz w:val="24"/>
          <w:szCs w:val="24"/>
        </w:rPr>
      </w:pPr>
      <w:r w:rsidRPr="008218F6">
        <w:rPr>
          <w:sz w:val="24"/>
          <w:szCs w:val="24"/>
        </w:rPr>
        <w:t>LCL (Less Container Load): Ποσότητα που δεν γεμίζει ένα container, αλλά πραγματοποιείται συμφόρτωση και μεταφορά μαζί με μικροποσότητες φορτίων που ανήκουν σε άλλους αποστολείς / παραλήπτες</w:t>
      </w:r>
      <w:r w:rsidRPr="008218F6">
        <w:rPr>
          <w:sz w:val="24"/>
          <w:szCs w:val="24"/>
        </w:rPr>
        <w:t>.</w:t>
      </w:r>
    </w:p>
    <w:p w:rsidR="008218F6" w:rsidRPr="008218F6" w:rsidRDefault="008218F6" w:rsidP="008218F6">
      <w:pPr>
        <w:spacing w:after="0" w:line="360" w:lineRule="auto"/>
        <w:ind w:left="360"/>
        <w:jc w:val="right"/>
        <w:rPr>
          <w:rFonts w:cstheme="minorHAnsi"/>
          <w:b/>
          <w:bCs/>
          <w:sz w:val="24"/>
          <w:szCs w:val="24"/>
        </w:rPr>
      </w:pPr>
      <w:r w:rsidRPr="008218F6">
        <w:rPr>
          <w:rFonts w:cstheme="minorHAnsi"/>
          <w:b/>
          <w:bCs/>
          <w:sz w:val="24"/>
          <w:szCs w:val="24"/>
        </w:rPr>
        <w:t xml:space="preserve">        (Μονάδες 25)</w:t>
      </w:r>
    </w:p>
    <w:p w:rsidR="008218F6" w:rsidRPr="008218F6" w:rsidRDefault="008218F6" w:rsidP="008218F6">
      <w:pPr>
        <w:jc w:val="both"/>
        <w:rPr>
          <w:sz w:val="24"/>
          <w:szCs w:val="24"/>
        </w:rPr>
      </w:pPr>
    </w:p>
    <w:sectPr w:rsidR="008218F6" w:rsidRPr="008218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C08FC"/>
    <w:multiLevelType w:val="hybridMultilevel"/>
    <w:tmpl w:val="93BE4FBC"/>
    <w:lvl w:ilvl="0" w:tplc="556CA07E">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8F6"/>
    <w:rsid w:val="00807903"/>
    <w:rsid w:val="008218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8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152</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dcterms:created xsi:type="dcterms:W3CDTF">2024-03-30T14:46:00Z</dcterms:created>
  <dcterms:modified xsi:type="dcterms:W3CDTF">2024-03-30T14:52:00Z</dcterms:modified>
</cp:coreProperties>
</file>