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FD4B30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BD296A" w:rsidRDefault="00BD296A" w:rsidP="00191223">
      <w:pPr>
        <w:pStyle w:val="Default"/>
        <w:spacing w:line="360" w:lineRule="auto"/>
        <w:jc w:val="both"/>
      </w:pPr>
      <w:r>
        <w:t>2.1  Ποια ακριβώς έργα κατασκευάζονται στα λιμενικά εργοτάξια; (Μονάδες 10)</w:t>
      </w:r>
    </w:p>
    <w:p w:rsidR="00BD296A" w:rsidRDefault="00BD296A" w:rsidP="00191223">
      <w:pPr>
        <w:pStyle w:val="Default"/>
        <w:spacing w:line="360" w:lineRule="auto"/>
        <w:jc w:val="both"/>
      </w:pPr>
    </w:p>
    <w:p w:rsidR="00C27E71" w:rsidRDefault="00BD296A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t>2.2 Ποια είναι τα ατομικά μέτρα προστασίας που θα πρέπει να λαμβάνονται στα εργοτάξια ; (Μονάδες  15)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2C37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155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96A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254E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D4B30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2024-03-27T15:01:00Z</dcterms:created>
  <dcterms:modified xsi:type="dcterms:W3CDTF">2024-03-27T15:11:00Z</dcterms:modified>
</cp:coreProperties>
</file>