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DB861" w14:textId="77777777" w:rsidR="0076689C" w:rsidRPr="00265CD4" w:rsidRDefault="0076689C" w:rsidP="0076689C">
      <w:pPr>
        <w:spacing w:after="0" w:line="360" w:lineRule="auto"/>
        <w:rPr>
          <w:b/>
          <w:bCs/>
          <w:sz w:val="24"/>
          <w:szCs w:val="24"/>
          <w:u w:val="single"/>
        </w:rPr>
      </w:pPr>
      <w:bookmarkStart w:id="0" w:name="_Hlk95943163"/>
      <w:r w:rsidRPr="00265CD4">
        <w:rPr>
          <w:b/>
          <w:bCs/>
          <w:sz w:val="24"/>
          <w:szCs w:val="24"/>
          <w:u w:val="single"/>
        </w:rPr>
        <w:t>ΕΝΔΕΙΚΤΙΚΕΣ ΑΠΑΝΤΗΣΕΙΣ</w:t>
      </w:r>
    </w:p>
    <w:p w14:paraId="50C082F6" w14:textId="6312F83C" w:rsidR="00385E52" w:rsidRPr="00385E52" w:rsidRDefault="00385E52" w:rsidP="0076689C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 2</w:t>
      </w:r>
      <w:r w:rsidRPr="00385E52">
        <w:rPr>
          <w:b/>
          <w:bCs/>
          <w:sz w:val="24"/>
          <w:szCs w:val="24"/>
          <w:u w:val="single"/>
          <w:vertAlign w:val="superscript"/>
        </w:rPr>
        <w:t>ο</w:t>
      </w:r>
    </w:p>
    <w:p w14:paraId="611726C5" w14:textId="12FB60E2" w:rsidR="0076689C" w:rsidRDefault="0076689C" w:rsidP="0076689C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2.1</w:t>
      </w:r>
    </w:p>
    <w:p w14:paraId="503742FC" w14:textId="77777777" w:rsidR="0076689C" w:rsidRDefault="0076689C" w:rsidP="0076689C">
      <w:pPr>
        <w:autoSpaceDE w:val="0"/>
        <w:autoSpaceDN w:val="0"/>
        <w:adjustRightInd w:val="0"/>
        <w:spacing w:after="0" w:line="360" w:lineRule="auto"/>
        <w:ind w:left="567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α.</w:t>
      </w:r>
      <w:r w:rsidRPr="006F62DF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Σωστό</w:t>
      </w:r>
    </w:p>
    <w:p w14:paraId="73119B34" w14:textId="77777777" w:rsidR="0076689C" w:rsidRDefault="0076689C" w:rsidP="0076689C">
      <w:pPr>
        <w:spacing w:after="0" w:line="360" w:lineRule="auto"/>
        <w:ind w:left="567"/>
        <w:jc w:val="both"/>
        <w:rPr>
          <w:sz w:val="24"/>
        </w:rPr>
      </w:pPr>
      <w:r>
        <w:rPr>
          <w:b/>
          <w:bCs/>
          <w:sz w:val="24"/>
          <w:szCs w:val="24"/>
        </w:rPr>
        <w:t>β</w:t>
      </w:r>
      <w:r>
        <w:rPr>
          <w:sz w:val="24"/>
          <w:szCs w:val="24"/>
        </w:rPr>
        <w:t xml:space="preserve">. </w:t>
      </w:r>
      <w:r>
        <w:rPr>
          <w:sz w:val="24"/>
        </w:rPr>
        <w:t>Λάθος</w:t>
      </w:r>
    </w:p>
    <w:p w14:paraId="057C1C0C" w14:textId="77777777" w:rsidR="0076689C" w:rsidRDefault="0076689C" w:rsidP="0076689C">
      <w:pPr>
        <w:spacing w:after="0" w:line="360" w:lineRule="auto"/>
        <w:ind w:left="567"/>
        <w:jc w:val="both"/>
        <w:rPr>
          <w:sz w:val="24"/>
        </w:rPr>
      </w:pPr>
      <w:r>
        <w:rPr>
          <w:b/>
          <w:bCs/>
          <w:sz w:val="24"/>
          <w:szCs w:val="24"/>
        </w:rPr>
        <w:t>γ</w:t>
      </w:r>
      <w:r>
        <w:rPr>
          <w:sz w:val="24"/>
          <w:szCs w:val="24"/>
        </w:rPr>
        <w:t xml:space="preserve">. </w:t>
      </w:r>
      <w:r>
        <w:rPr>
          <w:sz w:val="24"/>
        </w:rPr>
        <w:t>Λάθος</w:t>
      </w:r>
    </w:p>
    <w:p w14:paraId="054C991B" w14:textId="72CB2EA0" w:rsidR="0076689C" w:rsidRPr="00595120" w:rsidRDefault="0076689C" w:rsidP="0076689C">
      <w:pPr>
        <w:spacing w:after="0" w:line="360" w:lineRule="auto"/>
        <w:ind w:left="567"/>
        <w:jc w:val="both"/>
        <w:rPr>
          <w:iCs/>
          <w:sz w:val="24"/>
          <w:szCs w:val="24"/>
        </w:rPr>
      </w:pPr>
      <w:r w:rsidRPr="00D47657">
        <w:rPr>
          <w:sz w:val="24"/>
          <w:szCs w:val="24"/>
        </w:rPr>
        <w:t>Αιτιολόγηση:</w:t>
      </w:r>
      <w:r>
        <w:rPr>
          <w:sz w:val="24"/>
          <w:szCs w:val="24"/>
        </w:rPr>
        <w:t xml:space="preserve"> Η ψυκτική μηχανή μιας αυτόνομης κλιματιστικής μονάδας καλείται να «καλύψει» μικρότερη θερμοκρασιακή διαφορά ανάμεσα στη θερμή και την ψυχρή δεξαμενή (περίπου 10 με 15 </w:t>
      </w:r>
      <w:r w:rsidRPr="000A2BD1">
        <w:rPr>
          <w:sz w:val="24"/>
          <w:szCs w:val="24"/>
          <w:vertAlign w:val="superscript"/>
          <w:lang w:val="en-US"/>
        </w:rPr>
        <w:t>o</w:t>
      </w:r>
      <w:r>
        <w:rPr>
          <w:sz w:val="24"/>
          <w:szCs w:val="24"/>
          <w:lang w:val="en-US"/>
        </w:rPr>
        <w:t>C</w:t>
      </w:r>
      <w:r w:rsidRPr="000A2BD1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0A2B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Σε αντίθεση με το ψυγείο με κατάψυξη που καλείται να καλύψει μεγαλύτερη θερμοκρασιακή διαφορά (πάνω από 50 </w:t>
      </w:r>
      <w:r w:rsidRPr="000A2BD1">
        <w:rPr>
          <w:sz w:val="24"/>
          <w:szCs w:val="24"/>
          <w:vertAlign w:val="superscript"/>
          <w:lang w:val="en-US"/>
        </w:rPr>
        <w:t>o</w:t>
      </w:r>
      <w:r>
        <w:rPr>
          <w:sz w:val="24"/>
          <w:szCs w:val="24"/>
          <w:lang w:val="en-US"/>
        </w:rPr>
        <w:t>C</w:t>
      </w:r>
      <w:r w:rsidRPr="000A2BD1">
        <w:rPr>
          <w:sz w:val="24"/>
          <w:szCs w:val="24"/>
        </w:rPr>
        <w:t>).</w:t>
      </w:r>
      <w:r w:rsidRPr="0059512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Άρα ο συντελεστής συμπεριφοράς στην πρώτη περίπτωση </w:t>
      </w:r>
      <w:r w:rsidR="00BD0DD8" w:rsidRPr="00BD0DD8">
        <w:rPr>
          <w:sz w:val="24"/>
          <w:szCs w:val="24"/>
        </w:rPr>
        <w:t xml:space="preserve">αναμένεται να είναι </w:t>
      </w:r>
      <w:r>
        <w:rPr>
          <w:sz w:val="24"/>
          <w:szCs w:val="24"/>
        </w:rPr>
        <w:t>μεγαλύτερος από ότι στη δεύτερη.</w:t>
      </w:r>
    </w:p>
    <w:p w14:paraId="669A62BE" w14:textId="77777777" w:rsidR="0076689C" w:rsidRDefault="0076689C" w:rsidP="0076689C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 w:val="24"/>
          <w:szCs w:val="24"/>
        </w:rPr>
      </w:pPr>
    </w:p>
    <w:p w14:paraId="4BCB0D3B" w14:textId="77777777" w:rsidR="0076689C" w:rsidRDefault="0076689C" w:rsidP="0076689C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2.2</w:t>
      </w:r>
    </w:p>
    <w:p w14:paraId="47C77417" w14:textId="77777777" w:rsidR="0076689C" w:rsidRDefault="0076689C" w:rsidP="0076689C">
      <w:pPr>
        <w:autoSpaceDE w:val="0"/>
        <w:autoSpaceDN w:val="0"/>
        <w:adjustRightInd w:val="0"/>
        <w:spacing w:after="0" w:line="360" w:lineRule="auto"/>
        <w:jc w:val="both"/>
        <w:rPr>
          <w:sz w:val="24"/>
        </w:rPr>
      </w:pPr>
      <w:r>
        <w:rPr>
          <w:sz w:val="24"/>
        </w:rPr>
        <w:t>Η μέθοδος αποπάγωσης του</w:t>
      </w:r>
      <w:r w:rsidRPr="005222F0">
        <w:rPr>
          <w:sz w:val="24"/>
        </w:rPr>
        <w:t xml:space="preserve"> ψυγείο</w:t>
      </w:r>
      <w:r>
        <w:rPr>
          <w:sz w:val="24"/>
        </w:rPr>
        <w:t>υ</w:t>
      </w:r>
      <w:r w:rsidRPr="005222F0">
        <w:rPr>
          <w:sz w:val="24"/>
        </w:rPr>
        <w:t xml:space="preserve"> </w:t>
      </w:r>
      <w:r>
        <w:rPr>
          <w:sz w:val="24"/>
        </w:rPr>
        <w:t>Β πλεονεκτεί έναντι αυτής του ψυγείου Α στα εξής σημεία:</w:t>
      </w:r>
    </w:p>
    <w:bookmarkEnd w:id="0"/>
    <w:p w14:paraId="49BD6029" w14:textId="77777777" w:rsidR="0076689C" w:rsidRDefault="0076689C" w:rsidP="0076689C">
      <w:pPr>
        <w:autoSpaceDE w:val="0"/>
        <w:autoSpaceDN w:val="0"/>
        <w:adjustRightInd w:val="0"/>
        <w:spacing w:after="0" w:line="360" w:lineRule="auto"/>
        <w:jc w:val="both"/>
        <w:rPr>
          <w:sz w:val="24"/>
        </w:rPr>
      </w:pPr>
      <w:r>
        <w:rPr>
          <w:sz w:val="24"/>
        </w:rPr>
        <w:t>1. Κατά τη διάρκεια της αποπάγωσης στο ψυγείο Β δε χρειάζεται να σταματήσει η λειτουργία του ανεμιστήρα του εξατμιστή, ενώ το ψυγείο Α πρέπει να τεθεί εκτός λειτουργίας.</w:t>
      </w:r>
    </w:p>
    <w:p w14:paraId="011EDB84" w14:textId="6F0F6DBD" w:rsidR="0076689C" w:rsidRDefault="0076689C" w:rsidP="0076689C">
      <w:pPr>
        <w:autoSpaceDE w:val="0"/>
        <w:autoSpaceDN w:val="0"/>
        <w:adjustRightInd w:val="0"/>
        <w:spacing w:after="0" w:line="360" w:lineRule="auto"/>
        <w:jc w:val="both"/>
        <w:rPr>
          <w:sz w:val="24"/>
        </w:rPr>
      </w:pPr>
      <w:r>
        <w:rPr>
          <w:sz w:val="24"/>
        </w:rPr>
        <w:t xml:space="preserve">2. </w:t>
      </w:r>
      <w:r w:rsidRPr="006F43D1">
        <w:rPr>
          <w:sz w:val="24"/>
        </w:rPr>
        <w:t xml:space="preserve">Η θέρμανση </w:t>
      </w:r>
      <w:r>
        <w:rPr>
          <w:sz w:val="24"/>
        </w:rPr>
        <w:t xml:space="preserve">στο ψυγείο Β </w:t>
      </w:r>
      <w:r w:rsidRPr="006F43D1">
        <w:rPr>
          <w:sz w:val="24"/>
        </w:rPr>
        <w:t>γίνεται</w:t>
      </w:r>
      <w:r>
        <w:rPr>
          <w:sz w:val="24"/>
        </w:rPr>
        <w:t xml:space="preserve"> </w:t>
      </w:r>
      <w:r w:rsidRPr="006F43D1">
        <w:rPr>
          <w:sz w:val="24"/>
        </w:rPr>
        <w:t>από το εσωτερικό του σωλήνα, οπότε δεν υπάρχει κίνδυνος να μεταφερθεί,</w:t>
      </w:r>
      <w:r>
        <w:rPr>
          <w:sz w:val="24"/>
        </w:rPr>
        <w:t xml:space="preserve"> </w:t>
      </w:r>
      <w:r w:rsidRPr="006F43D1">
        <w:rPr>
          <w:sz w:val="24"/>
        </w:rPr>
        <w:t>στη διάρκεια της αποπάγωσης, θερμότητα στο</w:t>
      </w:r>
      <w:r w:rsidR="00C26ABA">
        <w:rPr>
          <w:sz w:val="24"/>
        </w:rPr>
        <w:t>ν</w:t>
      </w:r>
      <w:r w:rsidRPr="006F43D1">
        <w:rPr>
          <w:sz w:val="24"/>
        </w:rPr>
        <w:t xml:space="preserve"> θάλαμο.</w:t>
      </w:r>
      <w:r>
        <w:rPr>
          <w:sz w:val="24"/>
        </w:rPr>
        <w:t xml:space="preserve"> Αντίθετα στο ψυγείο Α θερμότητα μεταφέρεται, εκτός από τον εξατμιστή, και στο</w:t>
      </w:r>
      <w:r w:rsidR="00C26ABA">
        <w:rPr>
          <w:sz w:val="24"/>
        </w:rPr>
        <w:t>ν</w:t>
      </w:r>
      <w:r>
        <w:rPr>
          <w:sz w:val="24"/>
        </w:rPr>
        <w:t xml:space="preserve"> θάλαμο.</w:t>
      </w:r>
    </w:p>
    <w:p w14:paraId="17D80988" w14:textId="77777777" w:rsidR="0076689C" w:rsidRPr="005222F0" w:rsidRDefault="0076689C" w:rsidP="0076689C">
      <w:pPr>
        <w:autoSpaceDE w:val="0"/>
        <w:autoSpaceDN w:val="0"/>
        <w:adjustRightInd w:val="0"/>
        <w:spacing w:after="0" w:line="360" w:lineRule="auto"/>
        <w:jc w:val="both"/>
        <w:rPr>
          <w:sz w:val="24"/>
        </w:rPr>
      </w:pPr>
      <w:r>
        <w:rPr>
          <w:sz w:val="24"/>
        </w:rPr>
        <w:t>3. Η</w:t>
      </w:r>
      <w:r w:rsidRPr="00570E5B">
        <w:rPr>
          <w:sz w:val="24"/>
        </w:rPr>
        <w:t xml:space="preserve"> αποπάγωση με το σύστημα </w:t>
      </w:r>
      <w:r>
        <w:rPr>
          <w:sz w:val="24"/>
        </w:rPr>
        <w:t>του ψυγείου Β</w:t>
      </w:r>
      <w:r w:rsidRPr="00570E5B">
        <w:rPr>
          <w:sz w:val="24"/>
        </w:rPr>
        <w:t xml:space="preserve"> είναι πιο σύντομη (συνήθως αρκούν 5 έως 10 </w:t>
      </w:r>
      <w:r>
        <w:rPr>
          <w:sz w:val="24"/>
        </w:rPr>
        <w:t>λεπτά</w:t>
      </w:r>
      <w:r w:rsidRPr="00570E5B">
        <w:rPr>
          <w:sz w:val="24"/>
        </w:rPr>
        <w:t>)</w:t>
      </w:r>
      <w:r>
        <w:rPr>
          <w:sz w:val="24"/>
        </w:rPr>
        <w:t>, σε αντίθεση με το ψυγείο Α, όπου η αποπάγωση καθυστερεί.</w:t>
      </w:r>
    </w:p>
    <w:p w14:paraId="592752F0" w14:textId="77777777" w:rsidR="0076689C" w:rsidRPr="0076689C" w:rsidRDefault="0076689C" w:rsidP="0076689C">
      <w:pPr>
        <w:tabs>
          <w:tab w:val="left" w:pos="426"/>
        </w:tabs>
        <w:spacing w:after="0" w:line="360" w:lineRule="auto"/>
        <w:jc w:val="both"/>
        <w:rPr>
          <w:b/>
          <w:bCs/>
          <w:color w:val="000000" w:themeColor="text1"/>
          <w:sz w:val="24"/>
          <w:szCs w:val="24"/>
        </w:rPr>
      </w:pPr>
    </w:p>
    <w:sectPr w:rsidR="0076689C" w:rsidRPr="0076689C" w:rsidSect="0057274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271BF" w14:textId="77777777" w:rsidR="00572749" w:rsidRDefault="00572749" w:rsidP="00FF0CF6">
      <w:pPr>
        <w:spacing w:after="0" w:line="240" w:lineRule="auto"/>
      </w:pPr>
      <w:r>
        <w:separator/>
      </w:r>
    </w:p>
  </w:endnote>
  <w:endnote w:type="continuationSeparator" w:id="0">
    <w:p w14:paraId="7AFFB48C" w14:textId="77777777" w:rsidR="00572749" w:rsidRDefault="00572749" w:rsidP="00FF0CF6">
      <w:pPr>
        <w:spacing w:after="0" w:line="240" w:lineRule="auto"/>
      </w:pPr>
      <w:r>
        <w:continuationSeparator/>
      </w:r>
    </w:p>
  </w:endnote>
  <w:endnote w:type="continuationNotice" w:id="1">
    <w:p w14:paraId="28F5931D" w14:textId="77777777" w:rsidR="00572749" w:rsidRDefault="005727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6DA81" w14:textId="77777777" w:rsidR="00572749" w:rsidRDefault="00572749" w:rsidP="00FF0CF6">
      <w:pPr>
        <w:spacing w:after="0" w:line="240" w:lineRule="auto"/>
      </w:pPr>
      <w:r>
        <w:separator/>
      </w:r>
    </w:p>
  </w:footnote>
  <w:footnote w:type="continuationSeparator" w:id="0">
    <w:p w14:paraId="3C293908" w14:textId="77777777" w:rsidR="00572749" w:rsidRDefault="00572749" w:rsidP="00FF0CF6">
      <w:pPr>
        <w:spacing w:after="0" w:line="240" w:lineRule="auto"/>
      </w:pPr>
      <w:r>
        <w:continuationSeparator/>
      </w:r>
    </w:p>
  </w:footnote>
  <w:footnote w:type="continuationNotice" w:id="1">
    <w:p w14:paraId="3522E938" w14:textId="77777777" w:rsidR="00572749" w:rsidRDefault="00572749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369"/>
    <w:rsid w:val="00002B7E"/>
    <w:rsid w:val="00010B30"/>
    <w:rsid w:val="000171C4"/>
    <w:rsid w:val="000208A8"/>
    <w:rsid w:val="00033491"/>
    <w:rsid w:val="00046A5C"/>
    <w:rsid w:val="00051670"/>
    <w:rsid w:val="000517D3"/>
    <w:rsid w:val="00063BC9"/>
    <w:rsid w:val="00071F67"/>
    <w:rsid w:val="00072D14"/>
    <w:rsid w:val="000748A2"/>
    <w:rsid w:val="0007706B"/>
    <w:rsid w:val="00092B92"/>
    <w:rsid w:val="0009467B"/>
    <w:rsid w:val="000947C0"/>
    <w:rsid w:val="000965B1"/>
    <w:rsid w:val="000A2A91"/>
    <w:rsid w:val="000A7E59"/>
    <w:rsid w:val="000B799F"/>
    <w:rsid w:val="000C126D"/>
    <w:rsid w:val="000C3CA6"/>
    <w:rsid w:val="000E0D85"/>
    <w:rsid w:val="000E28DD"/>
    <w:rsid w:val="000F36AD"/>
    <w:rsid w:val="00102E40"/>
    <w:rsid w:val="001036F1"/>
    <w:rsid w:val="00106752"/>
    <w:rsid w:val="001200C0"/>
    <w:rsid w:val="0012245D"/>
    <w:rsid w:val="00130ECC"/>
    <w:rsid w:val="00131790"/>
    <w:rsid w:val="0013418C"/>
    <w:rsid w:val="00134B1F"/>
    <w:rsid w:val="0014669F"/>
    <w:rsid w:val="00151530"/>
    <w:rsid w:val="0015276D"/>
    <w:rsid w:val="00155A38"/>
    <w:rsid w:val="001575E7"/>
    <w:rsid w:val="001577C5"/>
    <w:rsid w:val="00164E36"/>
    <w:rsid w:val="00171525"/>
    <w:rsid w:val="001731CC"/>
    <w:rsid w:val="00176BDE"/>
    <w:rsid w:val="0018055B"/>
    <w:rsid w:val="001A3BD8"/>
    <w:rsid w:val="001A5F29"/>
    <w:rsid w:val="001B11F1"/>
    <w:rsid w:val="001B4C68"/>
    <w:rsid w:val="001D2611"/>
    <w:rsid w:val="001E5830"/>
    <w:rsid w:val="001E6B9C"/>
    <w:rsid w:val="001E6E8F"/>
    <w:rsid w:val="002064C9"/>
    <w:rsid w:val="00222711"/>
    <w:rsid w:val="002244A3"/>
    <w:rsid w:val="0022569D"/>
    <w:rsid w:val="002272E6"/>
    <w:rsid w:val="00234AFF"/>
    <w:rsid w:val="00245C9C"/>
    <w:rsid w:val="00246257"/>
    <w:rsid w:val="002462F5"/>
    <w:rsid w:val="00247A5A"/>
    <w:rsid w:val="002536C6"/>
    <w:rsid w:val="002537B5"/>
    <w:rsid w:val="00265CD4"/>
    <w:rsid w:val="002747E4"/>
    <w:rsid w:val="00275BAD"/>
    <w:rsid w:val="00285B56"/>
    <w:rsid w:val="002950A3"/>
    <w:rsid w:val="002B51CD"/>
    <w:rsid w:val="002C64B9"/>
    <w:rsid w:val="002D1437"/>
    <w:rsid w:val="002E04B6"/>
    <w:rsid w:val="002E3CDE"/>
    <w:rsid w:val="00304F07"/>
    <w:rsid w:val="00321CD4"/>
    <w:rsid w:val="00322851"/>
    <w:rsid w:val="00323A9E"/>
    <w:rsid w:val="00326A5C"/>
    <w:rsid w:val="00326C4F"/>
    <w:rsid w:val="00327E6A"/>
    <w:rsid w:val="00332233"/>
    <w:rsid w:val="00332FE6"/>
    <w:rsid w:val="00336507"/>
    <w:rsid w:val="00336AC6"/>
    <w:rsid w:val="00337486"/>
    <w:rsid w:val="00362DD3"/>
    <w:rsid w:val="00367675"/>
    <w:rsid w:val="00383E4A"/>
    <w:rsid w:val="00385E52"/>
    <w:rsid w:val="003919C3"/>
    <w:rsid w:val="003948FA"/>
    <w:rsid w:val="003A2CF8"/>
    <w:rsid w:val="003A5231"/>
    <w:rsid w:val="003B53C6"/>
    <w:rsid w:val="003B62A2"/>
    <w:rsid w:val="003C01CE"/>
    <w:rsid w:val="003C0C83"/>
    <w:rsid w:val="003C3803"/>
    <w:rsid w:val="003C77E0"/>
    <w:rsid w:val="003E167A"/>
    <w:rsid w:val="003F15C0"/>
    <w:rsid w:val="00402875"/>
    <w:rsid w:val="004128FD"/>
    <w:rsid w:val="00413719"/>
    <w:rsid w:val="00414857"/>
    <w:rsid w:val="00417111"/>
    <w:rsid w:val="00421AF0"/>
    <w:rsid w:val="00421DC3"/>
    <w:rsid w:val="00422323"/>
    <w:rsid w:val="0043536C"/>
    <w:rsid w:val="00436C99"/>
    <w:rsid w:val="004425CB"/>
    <w:rsid w:val="0044420C"/>
    <w:rsid w:val="00445449"/>
    <w:rsid w:val="004517BC"/>
    <w:rsid w:val="00451C0A"/>
    <w:rsid w:val="004552A8"/>
    <w:rsid w:val="00461039"/>
    <w:rsid w:val="004D141F"/>
    <w:rsid w:val="004D7ABA"/>
    <w:rsid w:val="004E296C"/>
    <w:rsid w:val="004E4B7C"/>
    <w:rsid w:val="004F2369"/>
    <w:rsid w:val="004F7A5A"/>
    <w:rsid w:val="005005AD"/>
    <w:rsid w:val="005155CC"/>
    <w:rsid w:val="005240DA"/>
    <w:rsid w:val="005276FD"/>
    <w:rsid w:val="005571ED"/>
    <w:rsid w:val="0056173F"/>
    <w:rsid w:val="00570DF2"/>
    <w:rsid w:val="00571A64"/>
    <w:rsid w:val="00572749"/>
    <w:rsid w:val="00580FD3"/>
    <w:rsid w:val="005863BB"/>
    <w:rsid w:val="005B0AEE"/>
    <w:rsid w:val="005B39E2"/>
    <w:rsid w:val="005B3F48"/>
    <w:rsid w:val="005B6C63"/>
    <w:rsid w:val="005B766E"/>
    <w:rsid w:val="005C64A0"/>
    <w:rsid w:val="005C7846"/>
    <w:rsid w:val="005D58A2"/>
    <w:rsid w:val="005E1B09"/>
    <w:rsid w:val="005E5332"/>
    <w:rsid w:val="005E7DA5"/>
    <w:rsid w:val="005F1287"/>
    <w:rsid w:val="00617A4D"/>
    <w:rsid w:val="00620CD1"/>
    <w:rsid w:val="00625ED2"/>
    <w:rsid w:val="00631090"/>
    <w:rsid w:val="00632257"/>
    <w:rsid w:val="0063236B"/>
    <w:rsid w:val="0066565D"/>
    <w:rsid w:val="00680AE6"/>
    <w:rsid w:val="00683542"/>
    <w:rsid w:val="00685B1C"/>
    <w:rsid w:val="0069733E"/>
    <w:rsid w:val="006A4E59"/>
    <w:rsid w:val="006A5C5A"/>
    <w:rsid w:val="006A6A3B"/>
    <w:rsid w:val="006B2FE0"/>
    <w:rsid w:val="006B4926"/>
    <w:rsid w:val="006C31B5"/>
    <w:rsid w:val="006C7AAE"/>
    <w:rsid w:val="006C7DC0"/>
    <w:rsid w:val="006D1B95"/>
    <w:rsid w:val="006E1A7C"/>
    <w:rsid w:val="006F62DF"/>
    <w:rsid w:val="006F79CB"/>
    <w:rsid w:val="00700168"/>
    <w:rsid w:val="00700975"/>
    <w:rsid w:val="007218F5"/>
    <w:rsid w:val="00722952"/>
    <w:rsid w:val="007323F7"/>
    <w:rsid w:val="00737652"/>
    <w:rsid w:val="00753D9D"/>
    <w:rsid w:val="00761AFA"/>
    <w:rsid w:val="0076689C"/>
    <w:rsid w:val="00771E37"/>
    <w:rsid w:val="00774A6A"/>
    <w:rsid w:val="007820B0"/>
    <w:rsid w:val="00784B2D"/>
    <w:rsid w:val="00787283"/>
    <w:rsid w:val="00797624"/>
    <w:rsid w:val="007A3C02"/>
    <w:rsid w:val="007B10C0"/>
    <w:rsid w:val="007C190C"/>
    <w:rsid w:val="007C630C"/>
    <w:rsid w:val="007D212A"/>
    <w:rsid w:val="007D3CA6"/>
    <w:rsid w:val="007E1ECA"/>
    <w:rsid w:val="007E7DD6"/>
    <w:rsid w:val="007F4A06"/>
    <w:rsid w:val="00806EFD"/>
    <w:rsid w:val="008147FD"/>
    <w:rsid w:val="00821DB2"/>
    <w:rsid w:val="00823B98"/>
    <w:rsid w:val="00827BBD"/>
    <w:rsid w:val="0085003A"/>
    <w:rsid w:val="00852D55"/>
    <w:rsid w:val="00871937"/>
    <w:rsid w:val="00873A77"/>
    <w:rsid w:val="00877D41"/>
    <w:rsid w:val="00882836"/>
    <w:rsid w:val="00883C5F"/>
    <w:rsid w:val="00885743"/>
    <w:rsid w:val="00897FBD"/>
    <w:rsid w:val="008A4B3F"/>
    <w:rsid w:val="008D448C"/>
    <w:rsid w:val="008F03A1"/>
    <w:rsid w:val="008F092A"/>
    <w:rsid w:val="008F2F5B"/>
    <w:rsid w:val="00903DCF"/>
    <w:rsid w:val="0090571F"/>
    <w:rsid w:val="009110A7"/>
    <w:rsid w:val="00913ABF"/>
    <w:rsid w:val="00916989"/>
    <w:rsid w:val="009273A5"/>
    <w:rsid w:val="00940364"/>
    <w:rsid w:val="009529D0"/>
    <w:rsid w:val="0096061B"/>
    <w:rsid w:val="00961831"/>
    <w:rsid w:val="009618AB"/>
    <w:rsid w:val="00961B40"/>
    <w:rsid w:val="009671DB"/>
    <w:rsid w:val="00971AEA"/>
    <w:rsid w:val="0097434D"/>
    <w:rsid w:val="00986E2D"/>
    <w:rsid w:val="00992270"/>
    <w:rsid w:val="0099434F"/>
    <w:rsid w:val="00995854"/>
    <w:rsid w:val="0099603F"/>
    <w:rsid w:val="009979A7"/>
    <w:rsid w:val="009A15B8"/>
    <w:rsid w:val="009A6883"/>
    <w:rsid w:val="009C3025"/>
    <w:rsid w:val="009C3894"/>
    <w:rsid w:val="009E0D5B"/>
    <w:rsid w:val="009E3035"/>
    <w:rsid w:val="009E34C8"/>
    <w:rsid w:val="009E4239"/>
    <w:rsid w:val="009F6AC2"/>
    <w:rsid w:val="00A06447"/>
    <w:rsid w:val="00A10DD0"/>
    <w:rsid w:val="00A12056"/>
    <w:rsid w:val="00A13713"/>
    <w:rsid w:val="00A138E0"/>
    <w:rsid w:val="00A14E88"/>
    <w:rsid w:val="00A156B4"/>
    <w:rsid w:val="00A15FC9"/>
    <w:rsid w:val="00A17799"/>
    <w:rsid w:val="00A2379C"/>
    <w:rsid w:val="00A23FA9"/>
    <w:rsid w:val="00A24F13"/>
    <w:rsid w:val="00A3124F"/>
    <w:rsid w:val="00A334E4"/>
    <w:rsid w:val="00A344CF"/>
    <w:rsid w:val="00A47C17"/>
    <w:rsid w:val="00A51451"/>
    <w:rsid w:val="00A53E9F"/>
    <w:rsid w:val="00A5413E"/>
    <w:rsid w:val="00A56493"/>
    <w:rsid w:val="00A642BC"/>
    <w:rsid w:val="00A65B40"/>
    <w:rsid w:val="00A66747"/>
    <w:rsid w:val="00A67A4B"/>
    <w:rsid w:val="00A758BF"/>
    <w:rsid w:val="00A776BD"/>
    <w:rsid w:val="00A8585C"/>
    <w:rsid w:val="00A92C81"/>
    <w:rsid w:val="00AB05C5"/>
    <w:rsid w:val="00AB4091"/>
    <w:rsid w:val="00AC4C63"/>
    <w:rsid w:val="00AD610E"/>
    <w:rsid w:val="00AE3044"/>
    <w:rsid w:val="00B0333E"/>
    <w:rsid w:val="00B05A5C"/>
    <w:rsid w:val="00B16B6F"/>
    <w:rsid w:val="00B271AA"/>
    <w:rsid w:val="00B313F7"/>
    <w:rsid w:val="00B320A9"/>
    <w:rsid w:val="00B32D46"/>
    <w:rsid w:val="00B36CB7"/>
    <w:rsid w:val="00B4299F"/>
    <w:rsid w:val="00B44749"/>
    <w:rsid w:val="00B44FB5"/>
    <w:rsid w:val="00B47DA0"/>
    <w:rsid w:val="00B533DE"/>
    <w:rsid w:val="00B54F4E"/>
    <w:rsid w:val="00B6241E"/>
    <w:rsid w:val="00B81549"/>
    <w:rsid w:val="00B821FB"/>
    <w:rsid w:val="00B82AFF"/>
    <w:rsid w:val="00B836A0"/>
    <w:rsid w:val="00B90889"/>
    <w:rsid w:val="00B92CF4"/>
    <w:rsid w:val="00B940C7"/>
    <w:rsid w:val="00B97254"/>
    <w:rsid w:val="00BA2E70"/>
    <w:rsid w:val="00BA2FB1"/>
    <w:rsid w:val="00BA3C50"/>
    <w:rsid w:val="00BA4BB1"/>
    <w:rsid w:val="00BA654F"/>
    <w:rsid w:val="00BA74AA"/>
    <w:rsid w:val="00BB1E52"/>
    <w:rsid w:val="00BB46CA"/>
    <w:rsid w:val="00BB7CBD"/>
    <w:rsid w:val="00BC58AE"/>
    <w:rsid w:val="00BD0DD8"/>
    <w:rsid w:val="00BE4041"/>
    <w:rsid w:val="00C04D91"/>
    <w:rsid w:val="00C07712"/>
    <w:rsid w:val="00C07B3E"/>
    <w:rsid w:val="00C116AA"/>
    <w:rsid w:val="00C24C36"/>
    <w:rsid w:val="00C26ABA"/>
    <w:rsid w:val="00C302A9"/>
    <w:rsid w:val="00C32049"/>
    <w:rsid w:val="00C5249D"/>
    <w:rsid w:val="00C538D8"/>
    <w:rsid w:val="00C574BC"/>
    <w:rsid w:val="00C66234"/>
    <w:rsid w:val="00C77437"/>
    <w:rsid w:val="00C92A8D"/>
    <w:rsid w:val="00C93170"/>
    <w:rsid w:val="00CB7908"/>
    <w:rsid w:val="00CC11EB"/>
    <w:rsid w:val="00CC44EA"/>
    <w:rsid w:val="00CE0ECB"/>
    <w:rsid w:val="00CE1CDB"/>
    <w:rsid w:val="00CF29D6"/>
    <w:rsid w:val="00CF5CA8"/>
    <w:rsid w:val="00D037B2"/>
    <w:rsid w:val="00D03BB7"/>
    <w:rsid w:val="00D06D2A"/>
    <w:rsid w:val="00D2240C"/>
    <w:rsid w:val="00D30BCA"/>
    <w:rsid w:val="00D32FBA"/>
    <w:rsid w:val="00D34370"/>
    <w:rsid w:val="00D34CD9"/>
    <w:rsid w:val="00D46C02"/>
    <w:rsid w:val="00D47D6A"/>
    <w:rsid w:val="00D5060F"/>
    <w:rsid w:val="00D63617"/>
    <w:rsid w:val="00D63D5D"/>
    <w:rsid w:val="00D6711C"/>
    <w:rsid w:val="00D73709"/>
    <w:rsid w:val="00D73A9C"/>
    <w:rsid w:val="00D81479"/>
    <w:rsid w:val="00D9188F"/>
    <w:rsid w:val="00D96C53"/>
    <w:rsid w:val="00DA166E"/>
    <w:rsid w:val="00DA211D"/>
    <w:rsid w:val="00DA2573"/>
    <w:rsid w:val="00DA682A"/>
    <w:rsid w:val="00DA6E21"/>
    <w:rsid w:val="00DB2344"/>
    <w:rsid w:val="00DB39D0"/>
    <w:rsid w:val="00DB6689"/>
    <w:rsid w:val="00DB7AA8"/>
    <w:rsid w:val="00DC029C"/>
    <w:rsid w:val="00DC58FB"/>
    <w:rsid w:val="00DD2B0E"/>
    <w:rsid w:val="00DD7719"/>
    <w:rsid w:val="00DE2410"/>
    <w:rsid w:val="00DE41C5"/>
    <w:rsid w:val="00DE582A"/>
    <w:rsid w:val="00DF00AD"/>
    <w:rsid w:val="00DF3C74"/>
    <w:rsid w:val="00E0657A"/>
    <w:rsid w:val="00E146D8"/>
    <w:rsid w:val="00E17793"/>
    <w:rsid w:val="00E20EFE"/>
    <w:rsid w:val="00E25EDF"/>
    <w:rsid w:val="00E411A7"/>
    <w:rsid w:val="00E47231"/>
    <w:rsid w:val="00E502C7"/>
    <w:rsid w:val="00E572CD"/>
    <w:rsid w:val="00E61D92"/>
    <w:rsid w:val="00E63559"/>
    <w:rsid w:val="00E7425E"/>
    <w:rsid w:val="00E7508A"/>
    <w:rsid w:val="00E808D1"/>
    <w:rsid w:val="00E809E6"/>
    <w:rsid w:val="00E81247"/>
    <w:rsid w:val="00E83BFC"/>
    <w:rsid w:val="00E850F2"/>
    <w:rsid w:val="00E9541B"/>
    <w:rsid w:val="00EA0599"/>
    <w:rsid w:val="00EA43ED"/>
    <w:rsid w:val="00EA624D"/>
    <w:rsid w:val="00EA63CD"/>
    <w:rsid w:val="00EC7017"/>
    <w:rsid w:val="00EC7D91"/>
    <w:rsid w:val="00EE1A2A"/>
    <w:rsid w:val="00EF7D91"/>
    <w:rsid w:val="00F130F7"/>
    <w:rsid w:val="00F13970"/>
    <w:rsid w:val="00F16DD6"/>
    <w:rsid w:val="00F22FE3"/>
    <w:rsid w:val="00F31013"/>
    <w:rsid w:val="00F53C32"/>
    <w:rsid w:val="00F63C4A"/>
    <w:rsid w:val="00F65EC6"/>
    <w:rsid w:val="00F7122C"/>
    <w:rsid w:val="00F736E2"/>
    <w:rsid w:val="00F87E43"/>
    <w:rsid w:val="00F90E45"/>
    <w:rsid w:val="00F91AFE"/>
    <w:rsid w:val="00F96B9D"/>
    <w:rsid w:val="00FA6D09"/>
    <w:rsid w:val="00FA6FD0"/>
    <w:rsid w:val="00FA750D"/>
    <w:rsid w:val="00FD744C"/>
    <w:rsid w:val="00FF0CF6"/>
    <w:rsid w:val="00FF60C3"/>
    <w:rsid w:val="00FF6ECE"/>
    <w:rsid w:val="00FF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  <w15:chartTrackingRefBased/>
  <w15:docId w15:val="{4A6836EB-D6DA-45E6-BCDD-A6A1FF45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uiPriority w:val="99"/>
    <w:semiHidden/>
    <w:unhideWhenUsed/>
    <w:rsid w:val="00FF0CF6"/>
    <w:pPr>
      <w:spacing w:after="0" w:line="240" w:lineRule="auto"/>
      <w:jc w:val="both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FF0C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0CF6"/>
    <w:rPr>
      <w:vertAlign w:val="superscript"/>
    </w:rPr>
  </w:style>
  <w:style w:type="character" w:styleId="a7">
    <w:name w:val="Placeholder Text"/>
    <w:basedOn w:val="a0"/>
    <w:uiPriority w:val="99"/>
    <w:semiHidden/>
    <w:rsid w:val="00CE0ECB"/>
    <w:rPr>
      <w:color w:val="808080"/>
    </w:rPr>
  </w:style>
  <w:style w:type="paragraph" w:styleId="a8">
    <w:name w:val="header"/>
    <w:basedOn w:val="a"/>
    <w:link w:val="Char0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8"/>
    <w:uiPriority w:val="99"/>
    <w:semiHidden/>
    <w:rsid w:val="00327E6A"/>
  </w:style>
  <w:style w:type="paragraph" w:styleId="a9">
    <w:name w:val="footer"/>
    <w:basedOn w:val="a"/>
    <w:link w:val="Char1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9"/>
    <w:uiPriority w:val="99"/>
    <w:semiHidden/>
    <w:rsid w:val="00327E6A"/>
  </w:style>
  <w:style w:type="character" w:styleId="aa">
    <w:name w:val="annotation reference"/>
    <w:basedOn w:val="a0"/>
    <w:uiPriority w:val="99"/>
    <w:semiHidden/>
    <w:unhideWhenUsed/>
    <w:rsid w:val="00C07B3E"/>
    <w:rPr>
      <w:sz w:val="16"/>
      <w:szCs w:val="16"/>
    </w:rPr>
  </w:style>
  <w:style w:type="paragraph" w:styleId="ab">
    <w:name w:val="annotation text"/>
    <w:basedOn w:val="a"/>
    <w:link w:val="Char2"/>
    <w:uiPriority w:val="99"/>
    <w:unhideWhenUsed/>
    <w:rsid w:val="00C07B3E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b"/>
    <w:uiPriority w:val="99"/>
    <w:rsid w:val="00C07B3E"/>
    <w:rPr>
      <w:sz w:val="20"/>
      <w:szCs w:val="20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C07B3E"/>
    <w:rPr>
      <w:b/>
      <w:bCs/>
    </w:rPr>
  </w:style>
  <w:style w:type="character" w:customStyle="1" w:styleId="Char3">
    <w:name w:val="Θέμα σχολίου Char"/>
    <w:basedOn w:val="Char2"/>
    <w:link w:val="ac"/>
    <w:uiPriority w:val="99"/>
    <w:semiHidden/>
    <w:rsid w:val="00C07B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D60C8-E022-4B7D-9EA3-41127625E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ΛΕΩΝΙΔΑΣ ΓΟΜΑΤΟΣ</cp:lastModifiedBy>
  <cp:revision>2</cp:revision>
  <dcterms:created xsi:type="dcterms:W3CDTF">2024-03-08T17:26:00Z</dcterms:created>
  <dcterms:modified xsi:type="dcterms:W3CDTF">2024-03-08T17:26:00Z</dcterms:modified>
</cp:coreProperties>
</file>