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520FF0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520FF0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E4756B" w:rsidRDefault="00DE7687" w:rsidP="00520F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E4756B">
        <w:rPr>
          <w:rFonts w:cs="Calibri"/>
          <w:bCs/>
          <w:sz w:val="24"/>
          <w:szCs w:val="24"/>
        </w:rPr>
        <w:t xml:space="preserve"> </w:t>
      </w:r>
      <w:bookmarkEnd w:id="0"/>
      <w:r w:rsidR="0088723A">
        <w:rPr>
          <w:rFonts w:cs="Calibri"/>
          <w:sz w:val="24"/>
          <w:szCs w:val="24"/>
        </w:rPr>
        <w:t>Ο ρυθμιστής καυσίμου του αεριοστρόβιλου κινητήρα, ρυθμίζει την ποσότητα του καυσίμου που θα εισαχθεί στον θ</w:t>
      </w:r>
      <w:r w:rsidR="009535C0">
        <w:rPr>
          <w:rFonts w:cs="Calibri"/>
          <w:sz w:val="24"/>
          <w:szCs w:val="24"/>
        </w:rPr>
        <w:t>άλαμο καύσης όχι ανάλογα με</w:t>
      </w:r>
      <w:r w:rsidR="0088723A">
        <w:rPr>
          <w:rFonts w:cs="Calibri"/>
          <w:sz w:val="24"/>
          <w:szCs w:val="24"/>
        </w:rPr>
        <w:t xml:space="preserve"> τι</w:t>
      </w:r>
      <w:r w:rsidR="009535C0">
        <w:rPr>
          <w:rFonts w:cs="Calibri"/>
          <w:sz w:val="24"/>
          <w:szCs w:val="24"/>
        </w:rPr>
        <w:t xml:space="preserve">ς στροφές του κινητήρα. </w:t>
      </w:r>
    </w:p>
    <w:p w:rsidR="006337AB" w:rsidRPr="009535C0" w:rsidRDefault="00CA70DE" w:rsidP="00520F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E4756B">
        <w:rPr>
          <w:rFonts w:cs="Calibri"/>
          <w:bCs/>
          <w:sz w:val="24"/>
          <w:szCs w:val="24"/>
        </w:rPr>
        <w:t>β.</w:t>
      </w:r>
      <w:r w:rsidRPr="00E4756B">
        <w:rPr>
          <w:rFonts w:cs="Calibri"/>
          <w:sz w:val="24"/>
          <w:szCs w:val="24"/>
        </w:rPr>
        <w:t xml:space="preserve"> </w:t>
      </w:r>
      <w:r w:rsidR="005D615D">
        <w:rPr>
          <w:rFonts w:cs="Calibri"/>
          <w:sz w:val="24"/>
          <w:szCs w:val="24"/>
        </w:rPr>
        <w:t>Ο</w:t>
      </w:r>
      <w:r w:rsidR="00695D5F">
        <w:rPr>
          <w:rFonts w:cs="Calibri"/>
          <w:sz w:val="24"/>
          <w:szCs w:val="24"/>
        </w:rPr>
        <w:t xml:space="preserve"> τρόπος πτήσης δεν επηρεάζει τη</w:t>
      </w:r>
      <w:r w:rsidR="005D615D">
        <w:rPr>
          <w:rFonts w:cs="Calibri"/>
          <w:sz w:val="24"/>
          <w:szCs w:val="24"/>
        </w:rPr>
        <w:t xml:space="preserve"> ζωή ενός κινητήρα</w:t>
      </w:r>
      <w:r w:rsidR="00E841E9" w:rsidRPr="00E4756B">
        <w:rPr>
          <w:rFonts w:cs="Calibri"/>
          <w:sz w:val="24"/>
          <w:szCs w:val="24"/>
        </w:rPr>
        <w:t>.</w:t>
      </w:r>
      <w:r w:rsidR="00381D2D" w:rsidRPr="00381D2D">
        <w:rPr>
          <w:rFonts w:cs="Calibri"/>
          <w:sz w:val="24"/>
          <w:szCs w:val="24"/>
        </w:rPr>
        <w:t xml:space="preserve"> </w:t>
      </w:r>
    </w:p>
    <w:p w:rsidR="006337AB" w:rsidRPr="00E4756B" w:rsidRDefault="00CA70DE" w:rsidP="00520F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>γ.</w:t>
      </w:r>
      <w:r w:rsidRPr="00E4756B">
        <w:rPr>
          <w:rFonts w:cs="Calibri"/>
          <w:sz w:val="24"/>
          <w:szCs w:val="24"/>
          <w:lang w:eastAsia="el-GR"/>
        </w:rPr>
        <w:t xml:space="preserve"> </w:t>
      </w:r>
      <w:r w:rsidR="00CE5B9D">
        <w:rPr>
          <w:rFonts w:cs="Calibri"/>
          <w:sz w:val="24"/>
          <w:szCs w:val="24"/>
        </w:rPr>
        <w:t>Η δυναμική ζυγοστάθμιση απαλείφει, ή</w:t>
      </w:r>
      <w:r w:rsidR="009535C0">
        <w:rPr>
          <w:rFonts w:cs="Calibri"/>
          <w:sz w:val="24"/>
          <w:szCs w:val="24"/>
        </w:rPr>
        <w:t>,</w:t>
      </w:r>
      <w:r w:rsidR="00CE5B9D">
        <w:rPr>
          <w:rFonts w:cs="Calibri"/>
          <w:sz w:val="24"/>
          <w:szCs w:val="24"/>
        </w:rPr>
        <w:t xml:space="preserve"> σωστότερα</w:t>
      </w:r>
      <w:r w:rsidR="009535C0">
        <w:rPr>
          <w:rFonts w:cs="Calibri"/>
          <w:sz w:val="24"/>
          <w:szCs w:val="24"/>
        </w:rPr>
        <w:t>,</w:t>
      </w:r>
      <w:r w:rsidR="00CE5B9D">
        <w:rPr>
          <w:rFonts w:cs="Calibri"/>
          <w:sz w:val="24"/>
          <w:szCs w:val="24"/>
        </w:rPr>
        <w:t xml:space="preserve"> περιορίζει στα επιτρεπτά όρια, την αζυγοσταθμία κατά μήκος του άξονα περιστροφής.</w:t>
      </w:r>
      <w:r w:rsidR="00DC677D">
        <w:rPr>
          <w:rFonts w:cs="Calibri"/>
          <w:sz w:val="24"/>
          <w:szCs w:val="24"/>
        </w:rPr>
        <w:t xml:space="preserve"> </w:t>
      </w:r>
    </w:p>
    <w:p w:rsidR="006028D0" w:rsidRPr="00E4756B" w:rsidRDefault="00CA70DE" w:rsidP="00520FF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E4756B">
        <w:rPr>
          <w:rFonts w:cs="Calibri"/>
          <w:bCs/>
          <w:sz w:val="24"/>
          <w:szCs w:val="24"/>
        </w:rPr>
        <w:t xml:space="preserve">δ. </w:t>
      </w:r>
      <w:r w:rsidR="00946E0A">
        <w:rPr>
          <w:rFonts w:cs="Calibri"/>
          <w:sz w:val="24"/>
          <w:szCs w:val="24"/>
        </w:rPr>
        <w:t>Το διάκενο μεταξύ των πτερυγίων του συμπιεστή ή του στροβίλου και του περιβλήματος του κινητήρα</w:t>
      </w:r>
      <w:r w:rsidR="00695D5F">
        <w:rPr>
          <w:rFonts w:cs="Calibri"/>
          <w:sz w:val="24"/>
          <w:szCs w:val="24"/>
        </w:rPr>
        <w:t>,</w:t>
      </w:r>
      <w:r w:rsidR="00946E0A">
        <w:rPr>
          <w:rFonts w:cs="Calibri"/>
          <w:sz w:val="24"/>
          <w:szCs w:val="24"/>
        </w:rPr>
        <w:t xml:space="preserve"> είναι </w:t>
      </w:r>
      <w:r w:rsidR="00695D5F">
        <w:rPr>
          <w:rFonts w:cs="Calibri"/>
          <w:sz w:val="24"/>
          <w:szCs w:val="24"/>
        </w:rPr>
        <w:t>αποφασιστικός</w:t>
      </w:r>
      <w:r w:rsidR="00946E0A">
        <w:rPr>
          <w:rFonts w:cs="Calibri"/>
          <w:sz w:val="24"/>
          <w:szCs w:val="24"/>
        </w:rPr>
        <w:t xml:space="preserve"> παράγοντας για την καλή λειτουργία </w:t>
      </w:r>
      <w:r w:rsidR="009535C0">
        <w:rPr>
          <w:rFonts w:cs="Calibri"/>
          <w:sz w:val="24"/>
          <w:szCs w:val="24"/>
        </w:rPr>
        <w:t xml:space="preserve">(αυξημένης απόδοσης) </w:t>
      </w:r>
      <w:r w:rsidR="00946E0A">
        <w:rPr>
          <w:rFonts w:cs="Calibri"/>
          <w:sz w:val="24"/>
          <w:szCs w:val="24"/>
        </w:rPr>
        <w:t>του κινητήρα</w:t>
      </w:r>
      <w:r w:rsidR="009535C0">
        <w:rPr>
          <w:rFonts w:cs="Calibri"/>
          <w:sz w:val="24"/>
          <w:szCs w:val="24"/>
        </w:rPr>
        <w:t>.</w:t>
      </w:r>
    </w:p>
    <w:p w:rsidR="00507B61" w:rsidRPr="00A02CC8" w:rsidRDefault="00EB1E01" w:rsidP="00520FF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9037C3">
        <w:rPr>
          <w:rFonts w:eastAsia="Times New Roman" w:cs="Calibri"/>
          <w:b/>
          <w:i/>
          <w:sz w:val="24"/>
          <w:szCs w:val="24"/>
          <w:lang w:eastAsia="el-GR"/>
        </w:rPr>
        <w:t>16</w:t>
      </w:r>
    </w:p>
    <w:p w:rsidR="00CB19D1" w:rsidRDefault="00CB19D1" w:rsidP="00520FF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8E4DCE" w:rsidRDefault="00CB19D1" w:rsidP="00520FF0">
      <w:pPr>
        <w:spacing w:line="360" w:lineRule="auto"/>
        <w:jc w:val="both"/>
        <w:rPr>
          <w:sz w:val="24"/>
          <w:szCs w:val="24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Pr="00CB19D1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5453E" w:rsidRPr="00BD5686">
        <w:rPr>
          <w:sz w:val="24"/>
          <w:szCs w:val="24"/>
        </w:rPr>
        <w:t xml:space="preserve">Με βάση </w:t>
      </w:r>
      <w:r w:rsidR="009535C0">
        <w:rPr>
          <w:sz w:val="24"/>
          <w:szCs w:val="24"/>
        </w:rPr>
        <w:t>τα παρακάτω σχήματα</w:t>
      </w:r>
      <w:r w:rsidR="00695D5F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</w:t>
      </w:r>
      <w:r w:rsidR="00695D5F">
        <w:rPr>
          <w:sz w:val="24"/>
          <w:szCs w:val="24"/>
        </w:rPr>
        <w:t>ό</w:t>
      </w:r>
      <w:r w:rsidR="0035453E" w:rsidRPr="00BD5686">
        <w:rPr>
          <w:sz w:val="24"/>
          <w:szCs w:val="24"/>
        </w:rPr>
        <w:t>που απ</w:t>
      </w:r>
      <w:r w:rsidR="00193FCF">
        <w:rPr>
          <w:sz w:val="24"/>
          <w:szCs w:val="24"/>
        </w:rPr>
        <w:t>εικονίζεται η σειρά αρίθμησης</w:t>
      </w:r>
      <w:r w:rsidR="008E4DCE">
        <w:rPr>
          <w:sz w:val="24"/>
          <w:szCs w:val="24"/>
        </w:rPr>
        <w:t xml:space="preserve"> κυλίνδρων ενός εμβολοφόρου κινητήρα</w:t>
      </w:r>
      <w:r w:rsidR="0035453E">
        <w:rPr>
          <w:sz w:val="24"/>
          <w:szCs w:val="24"/>
        </w:rPr>
        <w:t xml:space="preserve">, να </w:t>
      </w:r>
      <w:r w:rsidR="0035453E" w:rsidRPr="00BD5686">
        <w:rPr>
          <w:sz w:val="24"/>
          <w:szCs w:val="24"/>
        </w:rPr>
        <w:t>γράψετε τους αριθμούς 1, 2, 3</w:t>
      </w:r>
      <w:r w:rsidR="008E4DCE">
        <w:rPr>
          <w:sz w:val="24"/>
          <w:szCs w:val="24"/>
        </w:rPr>
        <w:t xml:space="preserve"> </w:t>
      </w:r>
      <w:r w:rsidR="00657FB6">
        <w:rPr>
          <w:sz w:val="24"/>
          <w:szCs w:val="24"/>
        </w:rPr>
        <w:t>από τη Σ</w:t>
      </w:r>
      <w:r w:rsidR="0035453E" w:rsidRPr="00BD5686">
        <w:rPr>
          <w:sz w:val="24"/>
          <w:szCs w:val="24"/>
        </w:rPr>
        <w:t>τήλη Α και</w:t>
      </w:r>
      <w:r w:rsidR="00DB6D0E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δίπλα</w:t>
      </w:r>
      <w:r w:rsidR="00DB6D0E">
        <w:rPr>
          <w:sz w:val="24"/>
          <w:szCs w:val="24"/>
        </w:rPr>
        <w:t>,</w:t>
      </w:r>
      <w:r w:rsidR="0035453E" w:rsidRPr="00BD5686">
        <w:rPr>
          <w:sz w:val="24"/>
          <w:szCs w:val="24"/>
        </w:rPr>
        <w:t xml:space="preserve"> ένα από τα γράμματα α, β, γ, δ της </w:t>
      </w:r>
      <w:r w:rsidR="00657FB6">
        <w:rPr>
          <w:sz w:val="24"/>
          <w:szCs w:val="24"/>
        </w:rPr>
        <w:t>Σ</w:t>
      </w:r>
      <w:r w:rsidR="00695D5F">
        <w:rPr>
          <w:sz w:val="24"/>
          <w:szCs w:val="24"/>
        </w:rPr>
        <w:t>τήλης Β</w:t>
      </w:r>
      <w:r w:rsidR="0035453E" w:rsidRPr="00BD5686">
        <w:rPr>
          <w:sz w:val="24"/>
          <w:szCs w:val="24"/>
        </w:rPr>
        <w:t xml:space="preserve"> που δίνει τη σωστή αντιστοίχιση. Σημ</w:t>
      </w:r>
      <w:r w:rsidR="00657FB6">
        <w:rPr>
          <w:sz w:val="24"/>
          <w:szCs w:val="24"/>
        </w:rPr>
        <w:t>ειώνεται ότι ένα γράμμα από τη Σ</w:t>
      </w:r>
      <w:r w:rsidR="0035453E" w:rsidRPr="00BD5686">
        <w:rPr>
          <w:sz w:val="24"/>
          <w:szCs w:val="24"/>
        </w:rPr>
        <w:t>τήλη Β θα περισσέψει.</w:t>
      </w:r>
    </w:p>
    <w:p w:rsidR="00DA30B3" w:rsidRDefault="00DA30B3" w:rsidP="00520FF0">
      <w:pPr>
        <w:spacing w:line="360" w:lineRule="auto"/>
        <w:jc w:val="both"/>
        <w:rPr>
          <w:sz w:val="24"/>
          <w:szCs w:val="24"/>
        </w:rPr>
      </w:pPr>
    </w:p>
    <w:p w:rsidR="00DA30B3" w:rsidRDefault="00DA30B3" w:rsidP="00520FF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5759450" cy="1539240"/>
            <wp:effectExtent l="19050" t="0" r="0" b="0"/>
            <wp:docPr id="1" name="0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06E" w:rsidRDefault="00B8006E" w:rsidP="00520FF0">
      <w:pPr>
        <w:spacing w:line="360" w:lineRule="auto"/>
        <w:jc w:val="both"/>
        <w:rPr>
          <w:sz w:val="24"/>
          <w:szCs w:val="24"/>
        </w:rPr>
      </w:pPr>
    </w:p>
    <w:p w:rsidR="0035453E" w:rsidRPr="00BD5686" w:rsidRDefault="0035453E" w:rsidP="00520FF0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6"/>
        <w:gridCol w:w="4690"/>
      </w:tblGrid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DB6D0E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DB6D0E">
              <w:rPr>
                <w:sz w:val="24"/>
                <w:szCs w:val="24"/>
                <w:lang w:eastAsia="el-GR"/>
              </w:rPr>
              <w:lastRenderedPageBreak/>
              <w:t>Στήλη Α</w:t>
            </w:r>
          </w:p>
        </w:tc>
        <w:tc>
          <w:tcPr>
            <w:tcW w:w="4690" w:type="dxa"/>
            <w:shd w:val="clear" w:color="auto" w:fill="auto"/>
          </w:tcPr>
          <w:p w:rsidR="0014302E" w:rsidRPr="00DB6D0E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DB6D0E">
              <w:rPr>
                <w:sz w:val="24"/>
                <w:szCs w:val="24"/>
                <w:lang w:eastAsia="el-GR"/>
              </w:rPr>
              <w:t>Στήλη Β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A41A8E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1</w:t>
            </w:r>
            <w:r w:rsidR="00657FB6">
              <w:rPr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α.  </w:t>
            </w:r>
            <w:r w:rsidR="00DA30B3">
              <w:rPr>
                <w:sz w:val="24"/>
                <w:szCs w:val="24"/>
                <w:lang w:eastAsia="el-GR"/>
              </w:rPr>
              <w:t xml:space="preserve">αντιθέτων </w:t>
            </w:r>
            <w:r w:rsidR="00E13BDF">
              <w:rPr>
                <w:sz w:val="24"/>
                <w:szCs w:val="24"/>
                <w:lang w:eastAsia="el-GR"/>
              </w:rPr>
              <w:t>κυλίνδρων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2</w:t>
            </w:r>
            <w:r w:rsidR="00657FB6">
              <w:rPr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β.  </w:t>
            </w:r>
            <w:r w:rsidR="00DA30B3">
              <w:rPr>
                <w:sz w:val="24"/>
                <w:szCs w:val="24"/>
                <w:lang w:eastAsia="el-GR"/>
              </w:rPr>
              <w:t>α</w:t>
            </w:r>
            <w:r w:rsidR="0025120B">
              <w:rPr>
                <w:sz w:val="24"/>
                <w:szCs w:val="24"/>
                <w:lang w:eastAsia="el-GR"/>
              </w:rPr>
              <w:t>κτινικός τριπλής σειράς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>3</w:t>
            </w:r>
            <w:r w:rsidR="00657FB6">
              <w:rPr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14302E" w:rsidRPr="00FE5A9D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γ.  </w:t>
            </w:r>
            <w:r w:rsidR="00DA30B3">
              <w:rPr>
                <w:sz w:val="24"/>
                <w:szCs w:val="24"/>
                <w:lang w:eastAsia="el-GR"/>
              </w:rPr>
              <w:t>ακτινικός διπλής σειράς</w:t>
            </w:r>
          </w:p>
        </w:tc>
      </w:tr>
      <w:tr w:rsidR="0014302E" w:rsidRPr="00BD5686" w:rsidTr="005C008C">
        <w:tc>
          <w:tcPr>
            <w:tcW w:w="4596" w:type="dxa"/>
            <w:shd w:val="clear" w:color="auto" w:fill="auto"/>
          </w:tcPr>
          <w:p w:rsidR="0014302E" w:rsidRPr="0035453E" w:rsidRDefault="00DA30B3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>
              <w:rPr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4690" w:type="dxa"/>
            <w:shd w:val="clear" w:color="auto" w:fill="auto"/>
          </w:tcPr>
          <w:p w:rsidR="0014302E" w:rsidRPr="00E260B6" w:rsidRDefault="0014302E" w:rsidP="00520FF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FE5A9D">
              <w:rPr>
                <w:sz w:val="24"/>
                <w:szCs w:val="24"/>
                <w:lang w:eastAsia="el-GR"/>
              </w:rPr>
              <w:t xml:space="preserve">            </w:t>
            </w:r>
            <w:r w:rsidR="00695D5F">
              <w:rPr>
                <w:sz w:val="24"/>
                <w:szCs w:val="24"/>
                <w:lang w:eastAsia="el-GR"/>
              </w:rPr>
              <w:t xml:space="preserve"> </w:t>
            </w:r>
            <w:r w:rsidRPr="00FE5A9D">
              <w:rPr>
                <w:sz w:val="24"/>
                <w:szCs w:val="24"/>
                <w:lang w:eastAsia="el-GR"/>
              </w:rPr>
              <w:t xml:space="preserve">δ. </w:t>
            </w:r>
            <w:r w:rsidR="00DA30B3">
              <w:rPr>
                <w:sz w:val="24"/>
                <w:szCs w:val="24"/>
                <w:lang w:eastAsia="el-GR"/>
              </w:rPr>
              <w:t>ακτινικός μονής σειράς</w:t>
            </w:r>
          </w:p>
        </w:tc>
      </w:tr>
    </w:tbl>
    <w:p w:rsidR="00BB38BD" w:rsidRPr="00A02CC8" w:rsidRDefault="00BB38BD" w:rsidP="00520FF0">
      <w:pPr>
        <w:spacing w:line="360" w:lineRule="auto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>
        <w:rPr>
          <w:rFonts w:eastAsia="Times New Roman" w:cs="Calibri"/>
          <w:bCs/>
          <w:iCs/>
          <w:sz w:val="28"/>
          <w:szCs w:val="28"/>
          <w:lang w:eastAsia="el-GR"/>
        </w:rPr>
        <w:t xml:space="preserve">       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            </w:t>
      </w:r>
      <w:r w:rsidR="009535C0">
        <w:rPr>
          <w:rFonts w:eastAsia="Times New Roman" w:cs="Calibri"/>
          <w:b/>
          <w:i/>
          <w:sz w:val="28"/>
          <w:szCs w:val="28"/>
          <w:lang w:eastAsia="el-GR"/>
        </w:rPr>
        <w:t xml:space="preserve">       </w:t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DB6D0E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9037C3">
        <w:rPr>
          <w:rFonts w:eastAsia="Times New Roman" w:cs="Calibri"/>
          <w:b/>
          <w:i/>
          <w:sz w:val="24"/>
          <w:szCs w:val="24"/>
          <w:lang w:eastAsia="el-GR"/>
        </w:rPr>
        <w:t>09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P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733300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</w:t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ab/>
        <w:t xml:space="preserve">                   </w:t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35453E">
        <w:rPr>
          <w:rFonts w:eastAsia="Times New Roman" w:cs="Calibri"/>
          <w:b/>
          <w:i/>
          <w:sz w:val="28"/>
          <w:szCs w:val="28"/>
          <w:lang w:eastAsia="el-GR"/>
        </w:rPr>
        <w:tab/>
      </w:r>
      <w:r w:rsidR="00E260B6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</w:p>
    <w:p w:rsidR="00BB38BD" w:rsidRPr="00BB38BD" w:rsidRDefault="00BB38BD" w:rsidP="00520FF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D5E" w:rsidRDefault="00DA6D5E" w:rsidP="000A5916">
      <w:pPr>
        <w:spacing w:after="0" w:line="240" w:lineRule="auto"/>
      </w:pPr>
      <w:r>
        <w:separator/>
      </w:r>
    </w:p>
  </w:endnote>
  <w:endnote w:type="continuationSeparator" w:id="1">
    <w:p w:rsidR="00DA6D5E" w:rsidRDefault="00DA6D5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D5E" w:rsidRDefault="00DA6D5E" w:rsidP="000A5916">
      <w:pPr>
        <w:spacing w:after="0" w:line="240" w:lineRule="auto"/>
      </w:pPr>
      <w:r>
        <w:separator/>
      </w:r>
    </w:p>
  </w:footnote>
  <w:footnote w:type="continuationSeparator" w:id="1">
    <w:p w:rsidR="00DA6D5E" w:rsidRDefault="00DA6D5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45039"/>
    <w:rsid w:val="000507FA"/>
    <w:rsid w:val="000A5916"/>
    <w:rsid w:val="000B4D52"/>
    <w:rsid w:val="000D0FD1"/>
    <w:rsid w:val="001145B5"/>
    <w:rsid w:val="001351FD"/>
    <w:rsid w:val="0014003A"/>
    <w:rsid w:val="001404F5"/>
    <w:rsid w:val="0014302E"/>
    <w:rsid w:val="00145E5F"/>
    <w:rsid w:val="0018531B"/>
    <w:rsid w:val="00193FCF"/>
    <w:rsid w:val="001A0A2B"/>
    <w:rsid w:val="001B7368"/>
    <w:rsid w:val="00215CD1"/>
    <w:rsid w:val="0025022D"/>
    <w:rsid w:val="0025120B"/>
    <w:rsid w:val="00253850"/>
    <w:rsid w:val="002C5E51"/>
    <w:rsid w:val="00316ADA"/>
    <w:rsid w:val="003203E1"/>
    <w:rsid w:val="0035453E"/>
    <w:rsid w:val="00381D2D"/>
    <w:rsid w:val="00395EED"/>
    <w:rsid w:val="003B47EE"/>
    <w:rsid w:val="003B4AF0"/>
    <w:rsid w:val="003E75C3"/>
    <w:rsid w:val="0042430C"/>
    <w:rsid w:val="00426E0A"/>
    <w:rsid w:val="00427846"/>
    <w:rsid w:val="00447A2D"/>
    <w:rsid w:val="00485D53"/>
    <w:rsid w:val="004B73B2"/>
    <w:rsid w:val="004E6F6D"/>
    <w:rsid w:val="004F1718"/>
    <w:rsid w:val="00507B61"/>
    <w:rsid w:val="00520FF0"/>
    <w:rsid w:val="005700C9"/>
    <w:rsid w:val="00577BBB"/>
    <w:rsid w:val="005C2F16"/>
    <w:rsid w:val="005D615D"/>
    <w:rsid w:val="005D7D27"/>
    <w:rsid w:val="005E371D"/>
    <w:rsid w:val="006028D0"/>
    <w:rsid w:val="0063110E"/>
    <w:rsid w:val="00633257"/>
    <w:rsid w:val="006337AB"/>
    <w:rsid w:val="00657FB6"/>
    <w:rsid w:val="00695D5F"/>
    <w:rsid w:val="006B369A"/>
    <w:rsid w:val="006D64B0"/>
    <w:rsid w:val="007142CD"/>
    <w:rsid w:val="00724022"/>
    <w:rsid w:val="00724DE5"/>
    <w:rsid w:val="00730817"/>
    <w:rsid w:val="00733300"/>
    <w:rsid w:val="00773206"/>
    <w:rsid w:val="00774D74"/>
    <w:rsid w:val="00784AAE"/>
    <w:rsid w:val="007A1061"/>
    <w:rsid w:val="00827CA8"/>
    <w:rsid w:val="00842B74"/>
    <w:rsid w:val="0088723A"/>
    <w:rsid w:val="008A37CA"/>
    <w:rsid w:val="008C4570"/>
    <w:rsid w:val="008E0347"/>
    <w:rsid w:val="008E4DCE"/>
    <w:rsid w:val="009037C3"/>
    <w:rsid w:val="009177D3"/>
    <w:rsid w:val="00941BC1"/>
    <w:rsid w:val="00946E0A"/>
    <w:rsid w:val="009535C0"/>
    <w:rsid w:val="00994184"/>
    <w:rsid w:val="009B3F32"/>
    <w:rsid w:val="009D3216"/>
    <w:rsid w:val="009D525A"/>
    <w:rsid w:val="009E06B7"/>
    <w:rsid w:val="00A02CC8"/>
    <w:rsid w:val="00A1248B"/>
    <w:rsid w:val="00A308FA"/>
    <w:rsid w:val="00A41A8E"/>
    <w:rsid w:val="00A7286F"/>
    <w:rsid w:val="00AA6827"/>
    <w:rsid w:val="00B2617A"/>
    <w:rsid w:val="00B548C8"/>
    <w:rsid w:val="00B8006E"/>
    <w:rsid w:val="00BA0743"/>
    <w:rsid w:val="00BB38BD"/>
    <w:rsid w:val="00BE756A"/>
    <w:rsid w:val="00BF71EB"/>
    <w:rsid w:val="00C3220C"/>
    <w:rsid w:val="00C5376F"/>
    <w:rsid w:val="00C55D9D"/>
    <w:rsid w:val="00C64E94"/>
    <w:rsid w:val="00C81C6B"/>
    <w:rsid w:val="00C8244D"/>
    <w:rsid w:val="00CA335B"/>
    <w:rsid w:val="00CA70DE"/>
    <w:rsid w:val="00CB06E9"/>
    <w:rsid w:val="00CB11D0"/>
    <w:rsid w:val="00CB19D1"/>
    <w:rsid w:val="00CC5FCB"/>
    <w:rsid w:val="00CE36F2"/>
    <w:rsid w:val="00CE5B9D"/>
    <w:rsid w:val="00D32046"/>
    <w:rsid w:val="00D82678"/>
    <w:rsid w:val="00D96A66"/>
    <w:rsid w:val="00DA30B3"/>
    <w:rsid w:val="00DA6D5E"/>
    <w:rsid w:val="00DB6D0E"/>
    <w:rsid w:val="00DB7C2B"/>
    <w:rsid w:val="00DC677D"/>
    <w:rsid w:val="00DC67ED"/>
    <w:rsid w:val="00DE7687"/>
    <w:rsid w:val="00E01927"/>
    <w:rsid w:val="00E13BDF"/>
    <w:rsid w:val="00E21748"/>
    <w:rsid w:val="00E260B6"/>
    <w:rsid w:val="00E4756B"/>
    <w:rsid w:val="00E54601"/>
    <w:rsid w:val="00E65BAA"/>
    <w:rsid w:val="00E70205"/>
    <w:rsid w:val="00E841E9"/>
    <w:rsid w:val="00E85A55"/>
    <w:rsid w:val="00EB1E01"/>
    <w:rsid w:val="00EC201B"/>
    <w:rsid w:val="00F14A73"/>
    <w:rsid w:val="00F27951"/>
    <w:rsid w:val="00F84EAE"/>
    <w:rsid w:val="00FB2BF2"/>
    <w:rsid w:val="00FB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C677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2023-03-09T12:28:00Z</dcterms:created>
  <dcterms:modified xsi:type="dcterms:W3CDTF">2023-03-09T12:28:00Z</dcterms:modified>
</cp:coreProperties>
</file>