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1C7C4" w14:textId="77777777" w:rsidR="0086569F" w:rsidRPr="00540795" w:rsidRDefault="0086569F" w:rsidP="0086569F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540795">
        <w:rPr>
          <w:rFonts w:cstheme="minorHAnsi"/>
          <w:b/>
          <w:sz w:val="24"/>
          <w:szCs w:val="24"/>
          <w:u w:val="single"/>
        </w:rPr>
        <w:t>Θέμα 2</w:t>
      </w:r>
      <w:r w:rsidRPr="00540795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14:paraId="48E97D86" w14:textId="77777777" w:rsidR="0086569F" w:rsidRPr="00540795" w:rsidRDefault="0086569F" w:rsidP="0086569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40795">
        <w:rPr>
          <w:rFonts w:cstheme="minorHAnsi"/>
          <w:b/>
          <w:sz w:val="24"/>
          <w:szCs w:val="24"/>
        </w:rPr>
        <w:t>2.1</w:t>
      </w:r>
      <w:r w:rsidRPr="00540795">
        <w:rPr>
          <w:rFonts w:cstheme="minorHAnsi"/>
          <w:bCs/>
          <w:sz w:val="24"/>
          <w:szCs w:val="24"/>
        </w:rPr>
        <w:t xml:space="preserve"> </w:t>
      </w:r>
      <w:r w:rsidRPr="00540795">
        <w:rPr>
          <w:rFonts w:eastAsia="Times New Roman" w:cstheme="minorHAnsi"/>
          <w:sz w:val="24"/>
          <w:szCs w:val="24"/>
          <w:lang w:eastAsia="el-GR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408156EB" w14:textId="77777777" w:rsidR="0086569F" w:rsidRPr="00540795" w:rsidRDefault="0086569F" w:rsidP="0086569F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 w:rsidRPr="00540795">
        <w:rPr>
          <w:rFonts w:eastAsia="PFCheltenham" w:cstheme="minorHAnsi"/>
          <w:b/>
          <w:bCs/>
          <w:sz w:val="24"/>
          <w:szCs w:val="24"/>
        </w:rPr>
        <w:t>α.</w:t>
      </w:r>
      <w:r w:rsidRPr="00540795">
        <w:rPr>
          <w:rFonts w:eastAsia="PFCheltenham" w:cstheme="minorHAnsi"/>
          <w:sz w:val="24"/>
          <w:szCs w:val="24"/>
        </w:rPr>
        <w:t xml:space="preserve"> Ένα ακόμα χαρακτηριστικό των δυναμικών αντλιών είναι ότι η παροχή στην αναρρόφηση και στην κατάθλιψη είναι συνεχής και σταθερή.</w:t>
      </w:r>
    </w:p>
    <w:p w14:paraId="3CF05C06" w14:textId="4380ED6C" w:rsidR="0086569F" w:rsidRPr="00540795" w:rsidRDefault="0086569F" w:rsidP="0086569F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 w:rsidRPr="00540795">
        <w:rPr>
          <w:rFonts w:eastAsia="PFCheltenham" w:cstheme="minorHAnsi"/>
          <w:b/>
          <w:bCs/>
          <w:sz w:val="24"/>
          <w:szCs w:val="24"/>
        </w:rPr>
        <w:t xml:space="preserve">β. </w:t>
      </w:r>
      <w:r w:rsidRPr="00540795">
        <w:rPr>
          <w:rFonts w:eastAsia="PFCheltenham" w:cstheme="minorHAnsi"/>
          <w:sz w:val="24"/>
          <w:szCs w:val="24"/>
        </w:rPr>
        <w:t xml:space="preserve">Οι περιστροφικές δυναμικές αντλίες, ειδικά οι φυγοκεντρικές, αποτελούν το </w:t>
      </w:r>
      <w:r w:rsidR="00504784">
        <w:rPr>
          <w:rFonts w:eastAsia="PFCheltenham" w:cstheme="minorHAnsi"/>
          <w:sz w:val="24"/>
          <w:szCs w:val="24"/>
        </w:rPr>
        <w:t>2</w:t>
      </w:r>
      <w:r w:rsidRPr="00540795">
        <w:rPr>
          <w:rFonts w:eastAsia="PFCheltenham" w:cstheme="minorHAnsi"/>
          <w:sz w:val="24"/>
          <w:szCs w:val="24"/>
        </w:rPr>
        <w:t>0% των εγκατεστημένων αντλιών στην πετρελαϊκή βιομηχανία.</w:t>
      </w:r>
    </w:p>
    <w:p w14:paraId="6C07262C" w14:textId="77777777" w:rsidR="0086569F" w:rsidRPr="00540795" w:rsidRDefault="0086569F" w:rsidP="0086569F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 w:rsidRPr="00540795">
        <w:rPr>
          <w:rFonts w:eastAsia="PFCheltenham" w:cstheme="minorHAnsi"/>
          <w:b/>
          <w:bCs/>
          <w:sz w:val="24"/>
          <w:szCs w:val="24"/>
        </w:rPr>
        <w:t>γ.</w:t>
      </w:r>
      <w:r w:rsidRPr="00540795">
        <w:rPr>
          <w:rFonts w:eastAsia="PFCheltenham" w:cstheme="minorHAnsi"/>
          <w:sz w:val="24"/>
          <w:szCs w:val="24"/>
        </w:rPr>
        <w:t xml:space="preserve"> Τα σταθερά μέρη μιας περιστροφικής δυναμικής αντλίας είναι το στροφείο ή πτερωτή και ο άξονας περιστροφής του στροφείου.</w:t>
      </w:r>
    </w:p>
    <w:p w14:paraId="69505793" w14:textId="77777777" w:rsidR="0086569F" w:rsidRPr="00540795" w:rsidRDefault="0086569F" w:rsidP="0086569F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 w:rsidRPr="00540795">
        <w:rPr>
          <w:rFonts w:eastAsia="PFCheltenham" w:cstheme="minorHAnsi"/>
          <w:b/>
          <w:bCs/>
          <w:sz w:val="24"/>
          <w:szCs w:val="24"/>
        </w:rPr>
        <w:t>δ.</w:t>
      </w:r>
      <w:r w:rsidRPr="00540795">
        <w:rPr>
          <w:rFonts w:eastAsia="PFCheltenham" w:cstheme="minorHAnsi"/>
          <w:sz w:val="24"/>
          <w:szCs w:val="24"/>
        </w:rPr>
        <w:t xml:space="preserve"> Η λειτουργία των αντλιών ακροφυσίου ή εκχυτήρων ή τζιφάρια βασίζεται στην ενέργεια, η οποία μεταδίδεται από ένα ρευστό (υγρό ή αέριο) που ονομάζεται ρευστό λειτουργίας ή βοηθητικό σε ένα άλλο ρευστό το οποίο καλείται αντλούμενο ρευστό.</w:t>
      </w:r>
    </w:p>
    <w:p w14:paraId="4A3C8A54" w14:textId="472AC26B" w:rsidR="0086569F" w:rsidRPr="00540795" w:rsidRDefault="0086569F" w:rsidP="0086569F">
      <w:pPr>
        <w:spacing w:after="0" w:line="360" w:lineRule="auto"/>
        <w:ind w:left="567"/>
        <w:jc w:val="both"/>
        <w:rPr>
          <w:rFonts w:eastAsia="PFCheltenham" w:cstheme="minorHAnsi"/>
          <w:b/>
          <w:bCs/>
          <w:sz w:val="24"/>
          <w:szCs w:val="24"/>
        </w:rPr>
      </w:pPr>
      <w:r w:rsidRPr="00540795">
        <w:rPr>
          <w:rFonts w:eastAsia="PFCheltenham" w:cstheme="minorHAnsi"/>
          <w:b/>
          <w:bCs/>
          <w:sz w:val="24"/>
          <w:szCs w:val="24"/>
        </w:rPr>
        <w:t xml:space="preserve">ε. </w:t>
      </w:r>
      <w:r w:rsidRPr="00540795">
        <w:rPr>
          <w:rFonts w:eastAsia="PFCheltenham" w:cstheme="minorHAnsi"/>
          <w:sz w:val="24"/>
          <w:szCs w:val="24"/>
        </w:rPr>
        <w:t>Οι εκχυτήρες χρησιμοποιούνται για την άντληση υγρών, τα οποία δύναται να περιέχουν και αέρια λόγω της δυνατότητάς τους να αναρροφούν τον αέρα όταν χρησιμοποιούνται για τη δημιουργία κενού κ.ά..</w:t>
      </w:r>
    </w:p>
    <w:p w14:paraId="0F938FE3" w14:textId="77777777" w:rsidR="0086569F" w:rsidRPr="00540795" w:rsidRDefault="0086569F" w:rsidP="0086569F">
      <w:pPr>
        <w:spacing w:after="0" w:line="360" w:lineRule="auto"/>
        <w:ind w:left="425"/>
        <w:jc w:val="right"/>
        <w:rPr>
          <w:rFonts w:eastAsia="PFCheltenham" w:cstheme="minorHAnsi"/>
          <w:b/>
          <w:bCs/>
          <w:sz w:val="24"/>
          <w:szCs w:val="24"/>
        </w:rPr>
      </w:pPr>
      <w:r w:rsidRPr="00540795">
        <w:rPr>
          <w:rFonts w:eastAsiaTheme="minorEastAsia" w:cstheme="minorHAnsi"/>
          <w:b/>
          <w:i/>
          <w:iCs/>
          <w:sz w:val="24"/>
          <w:szCs w:val="24"/>
        </w:rPr>
        <w:t>Μονάδες 15</w:t>
      </w:r>
    </w:p>
    <w:p w14:paraId="7344A406" w14:textId="13D6C7E1" w:rsidR="00F2771E" w:rsidRDefault="00F2771E" w:rsidP="00C2603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2F444E9A" w14:textId="77777777" w:rsidR="0086569F" w:rsidRPr="00540795" w:rsidRDefault="0086569F" w:rsidP="0086569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40795">
        <w:rPr>
          <w:rFonts w:eastAsia="Times New Roman" w:cstheme="minorHAnsi"/>
          <w:b/>
          <w:bCs/>
          <w:sz w:val="24"/>
          <w:szCs w:val="24"/>
          <w:lang w:eastAsia="el-GR"/>
        </w:rPr>
        <w:t xml:space="preserve">2.2 </w:t>
      </w:r>
      <w:r w:rsidRPr="00540795">
        <w:rPr>
          <w:rFonts w:eastAsia="Times New Roman" w:cstheme="minorHAnsi"/>
          <w:sz w:val="24"/>
          <w:szCs w:val="24"/>
          <w:lang w:eastAsia="el-GR"/>
        </w:rPr>
        <w:t>Να αναφέρετε τις δύο (2) βασικές ανάγκες που εξασφαλίζει ο συνήθης διπλός αριθμός των εγκατεστημένων αντλιών.</w:t>
      </w:r>
    </w:p>
    <w:p w14:paraId="6F8C53E2" w14:textId="4EFE7D4E" w:rsidR="005E3844" w:rsidRPr="00540795" w:rsidRDefault="005E3844" w:rsidP="005E3844">
      <w:pPr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 w:rsidRPr="00540795">
        <w:rPr>
          <w:rFonts w:eastAsia="PFCheltenham" w:cstheme="minorHAnsi"/>
          <w:b/>
          <w:bCs/>
          <w:i/>
          <w:iCs/>
          <w:sz w:val="24"/>
          <w:szCs w:val="24"/>
        </w:rPr>
        <w:t>Μονάδες 1</w:t>
      </w:r>
      <w:r w:rsidR="0086569F">
        <w:rPr>
          <w:rFonts w:eastAsia="PFCheltenham" w:cstheme="minorHAnsi"/>
          <w:b/>
          <w:bCs/>
          <w:i/>
          <w:iCs/>
          <w:sz w:val="24"/>
          <w:szCs w:val="24"/>
        </w:rPr>
        <w:t>0</w:t>
      </w:r>
    </w:p>
    <w:sectPr w:rsidR="005E3844" w:rsidRPr="00540795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54286" w14:textId="77777777" w:rsidR="00DE4D3E" w:rsidRDefault="00DE4D3E" w:rsidP="008360D6">
      <w:pPr>
        <w:spacing w:after="0" w:line="240" w:lineRule="auto"/>
      </w:pPr>
      <w:r>
        <w:separator/>
      </w:r>
    </w:p>
  </w:endnote>
  <w:endnote w:type="continuationSeparator" w:id="0">
    <w:p w14:paraId="11227BFB" w14:textId="77777777" w:rsidR="00DE4D3E" w:rsidRDefault="00DE4D3E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F04D0" w14:textId="77777777" w:rsidR="00DE4D3E" w:rsidRDefault="00DE4D3E" w:rsidP="008360D6">
      <w:pPr>
        <w:spacing w:after="0" w:line="240" w:lineRule="auto"/>
      </w:pPr>
      <w:r>
        <w:separator/>
      </w:r>
    </w:p>
  </w:footnote>
  <w:footnote w:type="continuationSeparator" w:id="0">
    <w:p w14:paraId="3F45D8EB" w14:textId="77777777" w:rsidR="00DE4D3E" w:rsidRDefault="00DE4D3E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4603222">
    <w:abstractNumId w:val="4"/>
  </w:num>
  <w:num w:numId="2" w16cid:durableId="498542758">
    <w:abstractNumId w:val="0"/>
  </w:num>
  <w:num w:numId="3" w16cid:durableId="1180001705">
    <w:abstractNumId w:val="3"/>
  </w:num>
  <w:num w:numId="4" w16cid:durableId="847596815">
    <w:abstractNumId w:val="2"/>
  </w:num>
  <w:num w:numId="5" w16cid:durableId="319968026">
    <w:abstractNumId w:val="5"/>
  </w:num>
  <w:num w:numId="6" w16cid:durableId="918443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313DA"/>
    <w:rsid w:val="0003614E"/>
    <w:rsid w:val="00046D1C"/>
    <w:rsid w:val="000545E0"/>
    <w:rsid w:val="0006084A"/>
    <w:rsid w:val="00062E83"/>
    <w:rsid w:val="00066EF6"/>
    <w:rsid w:val="000765E4"/>
    <w:rsid w:val="00084A01"/>
    <w:rsid w:val="000869A5"/>
    <w:rsid w:val="0009555B"/>
    <w:rsid w:val="000A76EC"/>
    <w:rsid w:val="000B1976"/>
    <w:rsid w:val="000C0D2D"/>
    <w:rsid w:val="000C72D3"/>
    <w:rsid w:val="000F3B6D"/>
    <w:rsid w:val="0010198C"/>
    <w:rsid w:val="00120524"/>
    <w:rsid w:val="00121185"/>
    <w:rsid w:val="00131EEC"/>
    <w:rsid w:val="00133683"/>
    <w:rsid w:val="001459B6"/>
    <w:rsid w:val="00155869"/>
    <w:rsid w:val="00167305"/>
    <w:rsid w:val="00177B22"/>
    <w:rsid w:val="0018042E"/>
    <w:rsid w:val="001825A9"/>
    <w:rsid w:val="001855FE"/>
    <w:rsid w:val="00197439"/>
    <w:rsid w:val="001D49D4"/>
    <w:rsid w:val="001F1BEF"/>
    <w:rsid w:val="001F31E4"/>
    <w:rsid w:val="00203909"/>
    <w:rsid w:val="00204586"/>
    <w:rsid w:val="00206FE3"/>
    <w:rsid w:val="00212662"/>
    <w:rsid w:val="002134DE"/>
    <w:rsid w:val="00215287"/>
    <w:rsid w:val="0022773B"/>
    <w:rsid w:val="00230DDD"/>
    <w:rsid w:val="00240386"/>
    <w:rsid w:val="0024754D"/>
    <w:rsid w:val="002612F9"/>
    <w:rsid w:val="002630DB"/>
    <w:rsid w:val="00265D93"/>
    <w:rsid w:val="0027089E"/>
    <w:rsid w:val="0027519E"/>
    <w:rsid w:val="00275321"/>
    <w:rsid w:val="00281D92"/>
    <w:rsid w:val="002839AF"/>
    <w:rsid w:val="00291EFB"/>
    <w:rsid w:val="002A442F"/>
    <w:rsid w:val="002C0622"/>
    <w:rsid w:val="002C6412"/>
    <w:rsid w:val="002E00C1"/>
    <w:rsid w:val="002E4813"/>
    <w:rsid w:val="002E52E3"/>
    <w:rsid w:val="002F0A45"/>
    <w:rsid w:val="002F311E"/>
    <w:rsid w:val="0030385E"/>
    <w:rsid w:val="00304B89"/>
    <w:rsid w:val="00321BE9"/>
    <w:rsid w:val="003242BC"/>
    <w:rsid w:val="00356A9A"/>
    <w:rsid w:val="003A7F19"/>
    <w:rsid w:val="003E2F11"/>
    <w:rsid w:val="00403C63"/>
    <w:rsid w:val="004064E2"/>
    <w:rsid w:val="004344AC"/>
    <w:rsid w:val="00464DC5"/>
    <w:rsid w:val="0046687B"/>
    <w:rsid w:val="004700C1"/>
    <w:rsid w:val="004D31C7"/>
    <w:rsid w:val="004E16C5"/>
    <w:rsid w:val="004F2387"/>
    <w:rsid w:val="00501CA2"/>
    <w:rsid w:val="00504784"/>
    <w:rsid w:val="00522351"/>
    <w:rsid w:val="0053146C"/>
    <w:rsid w:val="00535770"/>
    <w:rsid w:val="00540601"/>
    <w:rsid w:val="00556A8A"/>
    <w:rsid w:val="00577626"/>
    <w:rsid w:val="005900E6"/>
    <w:rsid w:val="00594108"/>
    <w:rsid w:val="005C01FE"/>
    <w:rsid w:val="005C1FA9"/>
    <w:rsid w:val="005C2D95"/>
    <w:rsid w:val="005C7423"/>
    <w:rsid w:val="005E310B"/>
    <w:rsid w:val="005E3844"/>
    <w:rsid w:val="005E7740"/>
    <w:rsid w:val="005F0D12"/>
    <w:rsid w:val="005F2C8C"/>
    <w:rsid w:val="00603861"/>
    <w:rsid w:val="0061061E"/>
    <w:rsid w:val="00614042"/>
    <w:rsid w:val="00614AB6"/>
    <w:rsid w:val="0062149A"/>
    <w:rsid w:val="006350CD"/>
    <w:rsid w:val="006428A1"/>
    <w:rsid w:val="00670728"/>
    <w:rsid w:val="006721A3"/>
    <w:rsid w:val="00694A04"/>
    <w:rsid w:val="006B1118"/>
    <w:rsid w:val="006B57BC"/>
    <w:rsid w:val="006C59E1"/>
    <w:rsid w:val="006D1E7B"/>
    <w:rsid w:val="006D2A09"/>
    <w:rsid w:val="006D2B77"/>
    <w:rsid w:val="006E0B65"/>
    <w:rsid w:val="006E247D"/>
    <w:rsid w:val="00707FF6"/>
    <w:rsid w:val="00713446"/>
    <w:rsid w:val="00713D9A"/>
    <w:rsid w:val="0071537A"/>
    <w:rsid w:val="00726B4B"/>
    <w:rsid w:val="00740E0C"/>
    <w:rsid w:val="00741548"/>
    <w:rsid w:val="00744703"/>
    <w:rsid w:val="00744F3C"/>
    <w:rsid w:val="007459AA"/>
    <w:rsid w:val="00750908"/>
    <w:rsid w:val="00755935"/>
    <w:rsid w:val="0076502D"/>
    <w:rsid w:val="00766FAF"/>
    <w:rsid w:val="00767086"/>
    <w:rsid w:val="00772A4B"/>
    <w:rsid w:val="007774E5"/>
    <w:rsid w:val="00784E04"/>
    <w:rsid w:val="00791A05"/>
    <w:rsid w:val="007A1F84"/>
    <w:rsid w:val="007A605D"/>
    <w:rsid w:val="007D2C0B"/>
    <w:rsid w:val="007D58B8"/>
    <w:rsid w:val="007D71B8"/>
    <w:rsid w:val="007E0C0A"/>
    <w:rsid w:val="007F39D8"/>
    <w:rsid w:val="007F76D0"/>
    <w:rsid w:val="00800B81"/>
    <w:rsid w:val="008074D1"/>
    <w:rsid w:val="00820596"/>
    <w:rsid w:val="008263DB"/>
    <w:rsid w:val="00827AFE"/>
    <w:rsid w:val="00833264"/>
    <w:rsid w:val="008360D6"/>
    <w:rsid w:val="00837120"/>
    <w:rsid w:val="0084317B"/>
    <w:rsid w:val="0086569F"/>
    <w:rsid w:val="00865CFA"/>
    <w:rsid w:val="008669FA"/>
    <w:rsid w:val="008674AC"/>
    <w:rsid w:val="00874496"/>
    <w:rsid w:val="00885AD8"/>
    <w:rsid w:val="008C3149"/>
    <w:rsid w:val="008C4441"/>
    <w:rsid w:val="008F2123"/>
    <w:rsid w:val="0090009B"/>
    <w:rsid w:val="009042DB"/>
    <w:rsid w:val="009173F6"/>
    <w:rsid w:val="00942E83"/>
    <w:rsid w:val="009930A9"/>
    <w:rsid w:val="009A0B13"/>
    <w:rsid w:val="009A6EF2"/>
    <w:rsid w:val="009B7881"/>
    <w:rsid w:val="009C19EC"/>
    <w:rsid w:val="009C7445"/>
    <w:rsid w:val="009D1D2E"/>
    <w:rsid w:val="009D43F7"/>
    <w:rsid w:val="009E1F54"/>
    <w:rsid w:val="009F0BFE"/>
    <w:rsid w:val="009F25BF"/>
    <w:rsid w:val="009F2A03"/>
    <w:rsid w:val="00A007AE"/>
    <w:rsid w:val="00A065A3"/>
    <w:rsid w:val="00A07604"/>
    <w:rsid w:val="00A30CE7"/>
    <w:rsid w:val="00A47553"/>
    <w:rsid w:val="00A65072"/>
    <w:rsid w:val="00A713DB"/>
    <w:rsid w:val="00A77579"/>
    <w:rsid w:val="00A85D41"/>
    <w:rsid w:val="00AA6D5F"/>
    <w:rsid w:val="00AB7477"/>
    <w:rsid w:val="00AC784A"/>
    <w:rsid w:val="00AD00C6"/>
    <w:rsid w:val="00AE4732"/>
    <w:rsid w:val="00AE4BB9"/>
    <w:rsid w:val="00B042F6"/>
    <w:rsid w:val="00B245DE"/>
    <w:rsid w:val="00B637F6"/>
    <w:rsid w:val="00B87FF7"/>
    <w:rsid w:val="00BA0C32"/>
    <w:rsid w:val="00BA3578"/>
    <w:rsid w:val="00BA3FF8"/>
    <w:rsid w:val="00BB3CFB"/>
    <w:rsid w:val="00BC1D31"/>
    <w:rsid w:val="00BE1C52"/>
    <w:rsid w:val="00BE79CC"/>
    <w:rsid w:val="00C00BDF"/>
    <w:rsid w:val="00C01389"/>
    <w:rsid w:val="00C0166E"/>
    <w:rsid w:val="00C142FE"/>
    <w:rsid w:val="00C20A5E"/>
    <w:rsid w:val="00C23A13"/>
    <w:rsid w:val="00C26038"/>
    <w:rsid w:val="00C94D24"/>
    <w:rsid w:val="00C97561"/>
    <w:rsid w:val="00CB4742"/>
    <w:rsid w:val="00CC5CEE"/>
    <w:rsid w:val="00CC7529"/>
    <w:rsid w:val="00CD1BFA"/>
    <w:rsid w:val="00D05E7D"/>
    <w:rsid w:val="00D066ED"/>
    <w:rsid w:val="00D204DA"/>
    <w:rsid w:val="00D20B8A"/>
    <w:rsid w:val="00D2247D"/>
    <w:rsid w:val="00D25CF9"/>
    <w:rsid w:val="00D536F8"/>
    <w:rsid w:val="00D617FB"/>
    <w:rsid w:val="00D623E7"/>
    <w:rsid w:val="00D6284E"/>
    <w:rsid w:val="00D66177"/>
    <w:rsid w:val="00DC6A01"/>
    <w:rsid w:val="00DC75B5"/>
    <w:rsid w:val="00DD6C7E"/>
    <w:rsid w:val="00DE4D3E"/>
    <w:rsid w:val="00E03776"/>
    <w:rsid w:val="00E10C7E"/>
    <w:rsid w:val="00E217F6"/>
    <w:rsid w:val="00E341CA"/>
    <w:rsid w:val="00E669BE"/>
    <w:rsid w:val="00E85D9B"/>
    <w:rsid w:val="00E8743B"/>
    <w:rsid w:val="00E93722"/>
    <w:rsid w:val="00EA14D1"/>
    <w:rsid w:val="00EA43F9"/>
    <w:rsid w:val="00EA51AB"/>
    <w:rsid w:val="00EC3B44"/>
    <w:rsid w:val="00ED1539"/>
    <w:rsid w:val="00ED32E3"/>
    <w:rsid w:val="00EE27BA"/>
    <w:rsid w:val="00EE5808"/>
    <w:rsid w:val="00EE647B"/>
    <w:rsid w:val="00EF1B2F"/>
    <w:rsid w:val="00F01F46"/>
    <w:rsid w:val="00F136E5"/>
    <w:rsid w:val="00F26461"/>
    <w:rsid w:val="00F2771E"/>
    <w:rsid w:val="00F458B5"/>
    <w:rsid w:val="00F47273"/>
    <w:rsid w:val="00F70B8E"/>
    <w:rsid w:val="00F92919"/>
    <w:rsid w:val="00F961E7"/>
    <w:rsid w:val="00F97A88"/>
    <w:rsid w:val="00FA28BD"/>
    <w:rsid w:val="00FA3FEF"/>
    <w:rsid w:val="00FB2D95"/>
    <w:rsid w:val="00FC2DA2"/>
    <w:rsid w:val="00FC4239"/>
    <w:rsid w:val="00FD4A7E"/>
    <w:rsid w:val="00FE06CB"/>
    <w:rsid w:val="00FE2993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168</cp:revision>
  <dcterms:created xsi:type="dcterms:W3CDTF">2022-04-09T17:38:00Z</dcterms:created>
  <dcterms:modified xsi:type="dcterms:W3CDTF">2023-02-23T17:27:00Z</dcterms:modified>
</cp:coreProperties>
</file>