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5AF38509"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F742B6">
        <w:rPr>
          <w:rFonts w:eastAsia="Arial Unicode MS" w:cs="Arial Unicode MS"/>
          <w:b/>
          <w:bCs/>
          <w:lang w:val="el-GR"/>
        </w:rPr>
        <w:t>2</w:t>
      </w:r>
    </w:p>
    <w:p w14:paraId="4B438E86" w14:textId="718FA691" w:rsidR="004F075C" w:rsidRPr="00373D09" w:rsidRDefault="004F075C" w:rsidP="00373D09">
      <w:pPr>
        <w:rPr>
          <w:b/>
          <w:bCs/>
        </w:rPr>
      </w:pPr>
      <w:r>
        <w:rPr>
          <w:rFonts w:eastAsia="Arial Unicode MS" w:cs="Arial Unicode MS"/>
          <w:b/>
          <w:bCs/>
          <w:lang w:val="el-GR"/>
        </w:rPr>
        <w:t>ΕΝΔΕΙΚΤΙΚΕΣ ΑΠΑΝΤΗΣΕΙΣ</w:t>
      </w:r>
    </w:p>
    <w:p w14:paraId="309ABA94" w14:textId="527B4399" w:rsidR="00362A91" w:rsidRDefault="00F742B6" w:rsidP="00F742B6">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00884996">
        <w:rPr>
          <w:rFonts w:eastAsia="Arial Unicode MS" w:cs="Arial Unicode MS"/>
          <w:lang w:val="el-GR"/>
        </w:rPr>
        <w:t>Φαινόμενη πυκνότητα ονομάζεται</w:t>
      </w:r>
      <w:r w:rsidR="00362A91">
        <w:rPr>
          <w:rFonts w:eastAsia="Arial Unicode MS" w:cs="Arial Unicode MS"/>
          <w:lang w:val="el-GR"/>
        </w:rPr>
        <w:t xml:space="preserve"> το ποσοστό του φαινόμενου όγκου</w:t>
      </w:r>
      <w:r w:rsidR="00884996">
        <w:rPr>
          <w:rFonts w:eastAsia="Arial Unicode MS" w:cs="Arial Unicode MS"/>
          <w:lang w:val="el-GR"/>
        </w:rPr>
        <w:t xml:space="preserve"> ενός </w:t>
      </w:r>
      <w:proofErr w:type="spellStart"/>
      <w:r w:rsidR="00884996">
        <w:rPr>
          <w:rFonts w:eastAsia="Arial Unicode MS" w:cs="Arial Unicode MS"/>
          <w:lang w:val="el-GR"/>
        </w:rPr>
        <w:t>σωμάτος</w:t>
      </w:r>
      <w:proofErr w:type="spellEnd"/>
      <w:r w:rsidR="00362A91">
        <w:rPr>
          <w:rFonts w:eastAsia="Arial Unicode MS" w:cs="Arial Unicode MS"/>
          <w:lang w:val="el-GR"/>
        </w:rPr>
        <w:t xml:space="preserve"> που </w:t>
      </w:r>
      <w:r w:rsidR="00884996">
        <w:rPr>
          <w:rFonts w:eastAsia="Arial Unicode MS" w:cs="Arial Unicode MS"/>
          <w:lang w:val="el-GR"/>
        </w:rPr>
        <w:t>καταλαμβάνει</w:t>
      </w:r>
      <w:r w:rsidR="00362A91">
        <w:rPr>
          <w:rFonts w:eastAsia="Arial Unicode MS" w:cs="Arial Unicode MS"/>
          <w:lang w:val="el-GR"/>
        </w:rPr>
        <w:t xml:space="preserve"> ο απόλυτος όγκος του σώματος</w:t>
      </w:r>
      <w:r w:rsidR="00884996">
        <w:rPr>
          <w:rFonts w:eastAsia="Arial Unicode MS" w:cs="Arial Unicode MS"/>
          <w:lang w:val="el-GR"/>
        </w:rPr>
        <w:t xml:space="preserve"> αυτού</w:t>
      </w:r>
      <w:r w:rsidR="00362A91">
        <w:rPr>
          <w:rFonts w:eastAsia="Arial Unicode MS" w:cs="Arial Unicode MS"/>
          <w:lang w:val="el-GR"/>
        </w:rPr>
        <w:t>.</w:t>
      </w:r>
      <w:r w:rsidR="00884996">
        <w:rPr>
          <w:rFonts w:eastAsia="Arial Unicode MS" w:cs="Arial Unicode MS"/>
          <w:lang w:val="el-GR"/>
        </w:rPr>
        <w:t xml:space="preserve"> Δηλαδή ισχύει η σχέση: </w:t>
      </w:r>
      <m:oMath>
        <m:r>
          <w:rPr>
            <w:rFonts w:ascii="Cambria Math" w:eastAsia="Arial Unicode MS" w:hAnsi="Cambria Math" w:cs="Arial Unicode MS"/>
            <w:lang w:val="el-GR"/>
          </w:rPr>
          <m:t>ρ=</m:t>
        </m:r>
        <m:f>
          <m:fPr>
            <m:ctrlPr>
              <w:rPr>
                <w:rFonts w:ascii="Cambria Math" w:eastAsia="Arial Unicode MS" w:hAnsi="Cambria Math" w:cs="Arial Unicode MS"/>
                <w:i/>
                <w:lang w:val="el-GR"/>
              </w:rPr>
            </m:ctrlPr>
          </m:fPr>
          <m:num>
            <m:sSub>
              <m:sSubPr>
                <m:ctrlPr>
                  <w:rPr>
                    <w:rFonts w:ascii="Cambria Math" w:eastAsia="Arial Unicode MS" w:hAnsi="Cambria Math" w:cs="Arial Unicode MS"/>
                    <w:i/>
                    <w:lang w:val="el-GR"/>
                  </w:rPr>
                </m:ctrlPr>
              </m:sSubPr>
              <m:e>
                <m:r>
                  <w:rPr>
                    <w:rFonts w:ascii="Cambria Math" w:eastAsia="Arial Unicode MS" w:hAnsi="Cambria Math" w:cs="Arial Unicode MS"/>
                    <w:lang w:val="en-US"/>
                  </w:rPr>
                  <m:t>V</m:t>
                </m:r>
              </m:e>
              <m:sub>
                <m:r>
                  <w:rPr>
                    <w:rFonts w:ascii="Cambria Math" w:eastAsia="Arial Unicode MS" w:hAnsi="Cambria Math" w:cs="Arial Unicode MS"/>
                    <w:lang w:val="el-GR"/>
                  </w:rPr>
                  <m:t>u</m:t>
                </m:r>
              </m:sub>
            </m:sSub>
          </m:num>
          <m:den>
            <m:sSub>
              <m:sSubPr>
                <m:ctrlPr>
                  <w:rPr>
                    <w:rFonts w:ascii="Cambria Math" w:eastAsia="Arial Unicode MS" w:hAnsi="Cambria Math" w:cs="Arial Unicode MS"/>
                    <w:i/>
                    <w:lang w:val="el-GR"/>
                  </w:rPr>
                </m:ctrlPr>
              </m:sSubPr>
              <m:e>
                <m:r>
                  <w:rPr>
                    <w:rFonts w:ascii="Cambria Math" w:eastAsia="Arial Unicode MS" w:hAnsi="Cambria Math" w:cs="Arial Unicode MS"/>
                    <w:lang w:val="el-GR"/>
                  </w:rPr>
                  <m:t>V</m:t>
                </m:r>
              </m:e>
              <m:sub>
                <m:r>
                  <w:rPr>
                    <w:rFonts w:ascii="Cambria Math" w:eastAsia="Arial Unicode MS" w:hAnsi="Cambria Math" w:cs="Arial Unicode MS"/>
                    <w:lang w:val="el-GR"/>
                  </w:rPr>
                  <m:t>φ</m:t>
                </m:r>
              </m:sub>
            </m:sSub>
          </m:den>
        </m:f>
      </m:oMath>
      <w:r w:rsidR="00884996">
        <w:rPr>
          <w:rFonts w:eastAsia="Arial Unicode MS" w:cs="Arial Unicode MS"/>
          <w:lang w:val="el-GR"/>
        </w:rPr>
        <w:t>.</w:t>
      </w:r>
    </w:p>
    <w:p w14:paraId="5DDD155A" w14:textId="5F3D6094" w:rsidR="00884996" w:rsidRPr="00884996" w:rsidRDefault="00884996" w:rsidP="00F742B6">
      <w:pPr>
        <w:rPr>
          <w:rFonts w:eastAsia="Arial Unicode MS" w:cs="Arial Unicode MS"/>
          <w:lang w:val="el-GR"/>
        </w:rPr>
      </w:pPr>
      <w:r>
        <w:rPr>
          <w:rFonts w:eastAsia="Arial Unicode MS" w:cs="Arial Unicode MS"/>
          <w:lang w:val="el-GR"/>
        </w:rPr>
        <w:t xml:space="preserve">Ειδικό βάρος ονομάζεται το βάρος της ύλης που περιέχεται στη μονάδα του όγκου κάθε υλικού. Για τον προσδιορισμό του συγκρίνουμε το βάρος </w:t>
      </w:r>
      <w:r w:rsidRPr="00884996">
        <w:rPr>
          <w:rFonts w:eastAsia="Arial Unicode MS" w:cs="Arial Unicode MS"/>
          <w:lang w:val="el-GR"/>
        </w:rPr>
        <w:t>(</w:t>
      </w:r>
      <w:r>
        <w:rPr>
          <w:rFonts w:eastAsia="Arial Unicode MS" w:cs="Arial Unicode MS"/>
          <w:lang w:val="en-US"/>
        </w:rPr>
        <w:t>G</w:t>
      </w:r>
      <w:r w:rsidRPr="00884996">
        <w:rPr>
          <w:rFonts w:eastAsia="Arial Unicode MS" w:cs="Arial Unicode MS"/>
          <w:lang w:val="el-GR"/>
        </w:rPr>
        <w:t xml:space="preserve">) </w:t>
      </w:r>
      <w:r>
        <w:rPr>
          <w:rFonts w:eastAsia="Arial Unicode MS" w:cs="Arial Unicode MS"/>
          <w:lang w:val="el-GR"/>
        </w:rPr>
        <w:t>του σώματος προς τον όγκο του.</w:t>
      </w:r>
    </w:p>
    <w:p w14:paraId="627E24A0" w14:textId="31369498" w:rsidR="00373D09" w:rsidRPr="00373D09" w:rsidRDefault="002D4934" w:rsidP="00F742B6">
      <w:pPr>
        <w:rPr>
          <w:rFonts w:eastAsia="Arial Unicode MS" w:cs="Arial Unicode MS"/>
          <w:lang w:val="el-GR"/>
        </w:rPr>
      </w:pPr>
      <w:r>
        <w:rPr>
          <w:rFonts w:eastAsia="Arial Unicode MS" w:cs="Arial Unicode MS"/>
          <w:lang w:val="el-GR"/>
        </w:rPr>
        <w:t xml:space="preserve"> (σελ. 75, 76</w:t>
      </w:r>
      <w:r w:rsidR="00884996">
        <w:rPr>
          <w:rFonts w:eastAsia="Arial Unicode MS" w:cs="Arial Unicode MS"/>
          <w:lang w:val="el-GR"/>
        </w:rPr>
        <w:t xml:space="preserve"> σχολικού βιβλίου</w:t>
      </w:r>
      <w:r>
        <w:rPr>
          <w:rFonts w:eastAsia="Arial Unicode MS" w:cs="Arial Unicode MS"/>
          <w:lang w:val="el-GR"/>
        </w:rPr>
        <w:t>)</w:t>
      </w:r>
      <w:r w:rsidR="00275E1A" w:rsidRPr="00F742B6">
        <w:rPr>
          <w:rFonts w:eastAsia="Arial Unicode MS" w:cs="Arial Unicode MS"/>
          <w:lang w:val="el-GR"/>
        </w:rPr>
        <w:t xml:space="preserve"> </w:t>
      </w:r>
    </w:p>
    <w:p w14:paraId="57FBAA3D" w14:textId="60C046FE" w:rsidR="00863171" w:rsidRDefault="00F742B6" w:rsidP="00275E1A">
      <w:pPr>
        <w:rPr>
          <w:rFonts w:eastAsia="Arial Unicode MS" w:cs="Arial Unicode MS"/>
          <w:b/>
          <w:bCs/>
          <w:lang w:val="el-GR"/>
        </w:rPr>
      </w:pPr>
      <w:r>
        <w:rPr>
          <w:rFonts w:eastAsia="Arial Unicode MS" w:cs="Arial Unicode MS"/>
          <w:b/>
          <w:bCs/>
          <w:lang w:val="el-GR"/>
        </w:rPr>
        <w:t>2</w:t>
      </w:r>
      <w:r w:rsidR="00373D09" w:rsidRPr="00373D09">
        <w:rPr>
          <w:rFonts w:eastAsia="Arial Unicode MS" w:cs="Arial Unicode MS"/>
          <w:b/>
          <w:bCs/>
          <w:lang w:val="el-GR"/>
        </w:rPr>
        <w:t>.2</w:t>
      </w:r>
      <w:r w:rsidR="00373D09" w:rsidRPr="00F742B6">
        <w:rPr>
          <w:rFonts w:eastAsia="Arial Unicode MS" w:cs="Arial Unicode MS"/>
          <w:b/>
          <w:bCs/>
          <w:lang w:val="el-GR"/>
        </w:rPr>
        <w:tab/>
      </w:r>
      <w:r w:rsidR="00863171" w:rsidRPr="00863171">
        <w:rPr>
          <w:rFonts w:eastAsia="Arial Unicode MS" w:cs="Arial Unicode MS"/>
          <w:lang w:val="el-GR"/>
        </w:rPr>
        <w:t xml:space="preserve">Τα </w:t>
      </w:r>
      <w:r w:rsidR="00863171">
        <w:rPr>
          <w:rFonts w:eastAsia="Arial Unicode MS" w:cs="Arial Unicode MS"/>
          <w:lang w:val="el-GR"/>
        </w:rPr>
        <w:t>πατητά επιχρίσματα εφαρμό</w:t>
      </w:r>
      <w:r w:rsidR="00362A91">
        <w:rPr>
          <w:rFonts w:eastAsia="Arial Unicode MS" w:cs="Arial Unicode MS"/>
          <w:lang w:val="el-GR"/>
        </w:rPr>
        <w:t>ζ</w:t>
      </w:r>
      <w:r w:rsidR="00863171">
        <w:rPr>
          <w:rFonts w:eastAsia="Arial Unicode MS" w:cs="Arial Unicode MS"/>
          <w:lang w:val="el-GR"/>
        </w:rPr>
        <w:t xml:space="preserve">ονται σε τρεις στρώσεις: πεταχτό (πιτσιλιστό), λάσπωμα και πατητό (αντί του ψιλού). Αυτά εκτελούνται σε περιπτώσεις όπου απαιτείται να δοθεί στα επιχρίσματα εντελώς λεία επιφάνεια και στις περιπτώσεις όπου χρειάζεται να γίνει στεγανοποίηση της επιφάνειας. Η πρώτη και η δεύτερη στρώση τους εκτελούνται όπως και στα τριφτά </w:t>
      </w:r>
      <w:r w:rsidR="00362A91">
        <w:rPr>
          <w:rFonts w:eastAsia="Arial Unicode MS" w:cs="Arial Unicode MS"/>
          <w:lang w:val="el-GR"/>
        </w:rPr>
        <w:t>επιχρίσματα</w:t>
      </w:r>
      <w:r w:rsidR="00863171">
        <w:rPr>
          <w:rFonts w:eastAsia="Arial Unicode MS" w:cs="Arial Unicode MS"/>
          <w:lang w:val="el-GR"/>
        </w:rPr>
        <w:t xml:space="preserve">. Η διαφορά περιορίζεται στην Τρίτη στρώση, όπου το κονίαμα δεν τρίβεται τελικά με το </w:t>
      </w:r>
      <w:proofErr w:type="spellStart"/>
      <w:r w:rsidR="00863171">
        <w:rPr>
          <w:rFonts w:eastAsia="Arial Unicode MS" w:cs="Arial Unicode MS"/>
          <w:lang w:val="el-GR"/>
        </w:rPr>
        <w:t>τριβίδι</w:t>
      </w:r>
      <w:proofErr w:type="spellEnd"/>
      <w:r w:rsidR="00863171">
        <w:rPr>
          <w:rFonts w:eastAsia="Arial Unicode MS" w:cs="Arial Unicode MS"/>
          <w:lang w:val="el-GR"/>
        </w:rPr>
        <w:t xml:space="preserve">, αλλά επιστρώνεται και συμπιέζεται καλά με το μυστρί, μέχρι η επιφάνεια του να γίνει απολύτως λεία. </w:t>
      </w:r>
      <w:r w:rsidR="00362A91">
        <w:rPr>
          <w:rFonts w:eastAsia="Arial Unicode MS" w:cs="Arial Unicode MS"/>
          <w:lang w:val="el-GR"/>
        </w:rPr>
        <w:t>Συνήθως</w:t>
      </w:r>
      <w:r w:rsidR="00863171">
        <w:rPr>
          <w:rFonts w:eastAsia="Arial Unicode MS" w:cs="Arial Unicode MS"/>
          <w:lang w:val="el-GR"/>
        </w:rPr>
        <w:t>, τα πατητά επιχρίσματα γίνονται με τσιμεντοκονιάματα σε όλες τις στρώσεις τους και η κατασκευή τους αποκαλείται πατητή τσιμεντοκονία. Συχνά αυτή μπορεί να περιοριστεί σε δυο στρώσεις: το πεταχτό και το πατητό.</w:t>
      </w:r>
    </w:p>
    <w:p w14:paraId="79795779" w14:textId="34E28A17" w:rsidR="000270E1" w:rsidRPr="00F742B6" w:rsidRDefault="002D4934" w:rsidP="00275E1A">
      <w:pPr>
        <w:rPr>
          <w:rFonts w:eastAsia="Arial Unicode MS" w:cs="Arial Unicode MS"/>
          <w:lang w:val="el-GR"/>
        </w:rPr>
      </w:pPr>
      <w:r>
        <w:rPr>
          <w:rFonts w:eastAsia="Arial Unicode MS" w:cs="Arial Unicode MS"/>
          <w:lang w:val="el-GR"/>
        </w:rPr>
        <w:t xml:space="preserve"> (σελ. 70</w:t>
      </w:r>
      <w:r w:rsidR="006474CC">
        <w:rPr>
          <w:rFonts w:eastAsia="Arial Unicode MS" w:cs="Arial Unicode MS"/>
          <w:lang w:val="el-GR"/>
        </w:rPr>
        <w:t xml:space="preserve"> σχολικού βιβλίου.</w:t>
      </w:r>
      <w:r>
        <w:rPr>
          <w:rFonts w:eastAsia="Arial Unicode MS" w:cs="Arial Unicode MS"/>
          <w:lang w:val="el-GR"/>
        </w:rPr>
        <w:t>)</w:t>
      </w:r>
    </w:p>
    <w:p w14:paraId="6F11CC20" w14:textId="225B0789" w:rsidR="000270E1" w:rsidRDefault="000270E1" w:rsidP="000270E1">
      <w:pPr>
        <w:jc w:val="center"/>
        <w:rPr>
          <w:rFonts w:eastAsia="Arial Unicode MS" w:cs="Arial Unicode MS"/>
        </w:rPr>
      </w:pPr>
    </w:p>
    <w:p w14:paraId="6CEA3BE2" w14:textId="77777777" w:rsidR="00373D09" w:rsidRPr="000270E1" w:rsidRDefault="00373D09" w:rsidP="00373D09">
      <w:pPr>
        <w:rPr>
          <w:rFonts w:eastAsia="Arial Unicode MS" w:cs="Arial Unicode MS"/>
          <w:sz w:val="28"/>
          <w:lang w:val="el-GR"/>
        </w:rPr>
      </w:pPr>
    </w:p>
    <w:p w14:paraId="4085A046" w14:textId="29CE67A3" w:rsidR="00373D09" w:rsidRPr="000270E1" w:rsidRDefault="00373D09" w:rsidP="00854A8F">
      <w:pPr>
        <w:jc w:val="center"/>
        <w:rPr>
          <w:rFonts w:eastAsia="Arial Unicode MS" w:cs="Arial Unicode MS"/>
          <w:sz w:val="28"/>
          <w:lang w:val="el-GR"/>
        </w:rPr>
      </w:pP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270E1"/>
    <w:rsid w:val="000D07A4"/>
    <w:rsid w:val="00130267"/>
    <w:rsid w:val="00211AEC"/>
    <w:rsid w:val="00275E1A"/>
    <w:rsid w:val="002C102F"/>
    <w:rsid w:val="002D4934"/>
    <w:rsid w:val="00317B4F"/>
    <w:rsid w:val="00362A91"/>
    <w:rsid w:val="00373D09"/>
    <w:rsid w:val="004910CE"/>
    <w:rsid w:val="004F075C"/>
    <w:rsid w:val="006474CC"/>
    <w:rsid w:val="006827F2"/>
    <w:rsid w:val="00695C25"/>
    <w:rsid w:val="0076101F"/>
    <w:rsid w:val="00854A8F"/>
    <w:rsid w:val="00863171"/>
    <w:rsid w:val="00884996"/>
    <w:rsid w:val="00A354CC"/>
    <w:rsid w:val="00A91368"/>
    <w:rsid w:val="00A91C7C"/>
    <w:rsid w:val="00B37F29"/>
    <w:rsid w:val="00BA7B52"/>
    <w:rsid w:val="00DC260A"/>
    <w:rsid w:val="00EC1CCF"/>
    <w:rsid w:val="00F742B6"/>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9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16</cp:revision>
  <dcterms:created xsi:type="dcterms:W3CDTF">2023-01-10T15:15:00Z</dcterms:created>
  <dcterms:modified xsi:type="dcterms:W3CDTF">2023-02-06T17:28:00Z</dcterms:modified>
  <cp:category/>
</cp:coreProperties>
</file>