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B1F" w:rsidRDefault="00115B97">
      <w:pPr>
        <w:spacing w:line="360" w:lineRule="auto"/>
        <w:rPr>
          <w:b/>
          <w:sz w:val="24"/>
          <w:szCs w:val="24"/>
        </w:rPr>
      </w:pPr>
      <w:r>
        <w:rPr>
          <w:b/>
          <w:sz w:val="24"/>
          <w:szCs w:val="24"/>
        </w:rPr>
        <w:t>ΘΕΜΑ 4</w:t>
      </w:r>
    </w:p>
    <w:p w:rsidR="00C23B1F" w:rsidRDefault="00115B97">
      <w:pPr>
        <w:spacing w:line="360" w:lineRule="auto"/>
        <w:rPr>
          <w:b/>
          <w:sz w:val="24"/>
          <w:szCs w:val="24"/>
        </w:rPr>
      </w:pPr>
      <w:r>
        <w:rPr>
          <w:b/>
          <w:sz w:val="24"/>
          <w:szCs w:val="24"/>
        </w:rPr>
        <w:t>4.1 Η μύγα Δροσόφιλα (</w:t>
      </w:r>
      <w:proofErr w:type="spellStart"/>
      <w:r>
        <w:rPr>
          <w:b/>
          <w:i/>
          <w:sz w:val="24"/>
          <w:szCs w:val="24"/>
        </w:rPr>
        <w:t>Drosophila</w:t>
      </w:r>
      <w:proofErr w:type="spellEnd"/>
      <w:r>
        <w:rPr>
          <w:b/>
          <w:i/>
          <w:sz w:val="24"/>
          <w:szCs w:val="24"/>
        </w:rPr>
        <w:t xml:space="preserve"> </w:t>
      </w:r>
      <w:proofErr w:type="spellStart"/>
      <w:r>
        <w:rPr>
          <w:b/>
          <w:i/>
          <w:sz w:val="24"/>
          <w:szCs w:val="24"/>
        </w:rPr>
        <w:t>melanogaster</w:t>
      </w:r>
      <w:proofErr w:type="spellEnd"/>
      <w:r>
        <w:rPr>
          <w:b/>
          <w:sz w:val="24"/>
          <w:szCs w:val="24"/>
        </w:rPr>
        <w:t>) χρησιμοποιείται ως πειραματόζωο, για περισσότερο από έναν αιώνα, σε πολλές μελέτες γενετικής, εμβρυολογίας, γήρανσης, ακόμη και σε πειράματα νευρολογίας που αφορούν στη μάθηση και στη συμπεριφορά.</w:t>
      </w:r>
    </w:p>
    <w:p w:rsidR="00C23B1F" w:rsidRDefault="00115B97">
      <w:pPr>
        <w:spacing w:line="360" w:lineRule="auto"/>
        <w:rPr>
          <w:sz w:val="24"/>
          <w:szCs w:val="24"/>
        </w:rPr>
      </w:pPr>
      <w:r>
        <w:rPr>
          <w:sz w:val="24"/>
          <w:szCs w:val="24"/>
        </w:rPr>
        <w:t>α. Η μύγα φέρει σε ένα σωματικό της κύτταρο, κατά τη μετάφαση της μίτωσης, οκτώ χρωμοσώματα με συνολικό μήκος γονιδιώματος 6,4x10</w:t>
      </w:r>
      <w:r>
        <w:rPr>
          <w:sz w:val="24"/>
          <w:szCs w:val="24"/>
          <w:vertAlign w:val="superscript"/>
        </w:rPr>
        <w:t>8</w:t>
      </w:r>
      <w:r>
        <w:rPr>
          <w:sz w:val="24"/>
          <w:szCs w:val="24"/>
        </w:rPr>
        <w:t xml:space="preserve"> ζεύγη βάσεων. Να προσδιορίσετε τον αριθμό των μορίων DNA και το μήκος του γονιδιώματος σε ένα φυσιολογικό γαμέτη του εντόμου (μονάδες 2), αιτιολογώντας την απάντησή σας (μονάδες 4).</w:t>
      </w:r>
    </w:p>
    <w:p w:rsidR="00C23B1F" w:rsidRDefault="00115B97">
      <w:pPr>
        <w:spacing w:line="360" w:lineRule="auto"/>
        <w:rPr>
          <w:sz w:val="24"/>
          <w:szCs w:val="24"/>
        </w:rPr>
      </w:pPr>
      <w:r>
        <w:rPr>
          <w:sz w:val="24"/>
          <w:szCs w:val="24"/>
        </w:rPr>
        <w:t>β. Να γράψετε πόσοι διαφορετικοί γαμέτες (από άποψη χρωμοσωμικής σύστασης) πιστεύετε ότι θα μπορούσαν να παραχθούν, ως αποτέλεσμα του ανεξάρτητου συνδυασμού των χρωμοσωμάτων (χωρίς να ληφθούν υπόψη πιθανοί επιχιασμοί) από ένα φυσιολογικό άτομο δροσόφιλας (μονάδες 2) και να δικαιολογήσετε την απάντησή σας (μονάδες 4).</w:t>
      </w:r>
    </w:p>
    <w:p w:rsidR="00C23B1F" w:rsidRDefault="00115B97">
      <w:pPr>
        <w:spacing w:line="360" w:lineRule="auto"/>
        <w:jc w:val="right"/>
        <w:rPr>
          <w:b/>
          <w:sz w:val="24"/>
          <w:szCs w:val="24"/>
        </w:rPr>
      </w:pPr>
      <w:r>
        <w:rPr>
          <w:b/>
          <w:sz w:val="24"/>
          <w:szCs w:val="24"/>
        </w:rPr>
        <w:t>Μονάδες 12</w:t>
      </w:r>
    </w:p>
    <w:p w:rsidR="00C23B1F" w:rsidRDefault="00115B97">
      <w:pPr>
        <w:spacing w:line="360" w:lineRule="auto"/>
        <w:rPr>
          <w:b/>
          <w:sz w:val="24"/>
          <w:szCs w:val="24"/>
        </w:rPr>
      </w:pPr>
      <w:r>
        <w:rPr>
          <w:b/>
          <w:sz w:val="24"/>
          <w:szCs w:val="24"/>
        </w:rPr>
        <w:t xml:space="preserve">4.2 Οι πρωτεΐνες και τα πεπτίδια επιτελούν σημαντικές βιολογικές λειτουργίες στα κύτταρα. Το παρακάτω ολιγοπεπτίδιο αναλύθηκε για τον προσδιορισμό της πρωτοταγούς δομής του και η αλληλουχία των αμινοξέων του που βρέθηκε </w:t>
      </w:r>
      <w:bookmarkStart w:id="0" w:name="_GoBack"/>
      <w:bookmarkEnd w:id="0"/>
      <w:r>
        <w:rPr>
          <w:b/>
          <w:sz w:val="24"/>
          <w:szCs w:val="24"/>
        </w:rPr>
        <w:t xml:space="preserve">ήταν η εξής: </w:t>
      </w:r>
    </w:p>
    <w:p w:rsidR="00C23B1F" w:rsidRDefault="00115B97">
      <w:pPr>
        <w:spacing w:line="360" w:lineRule="auto"/>
        <w:jc w:val="center"/>
        <w:rPr>
          <w:sz w:val="24"/>
          <w:szCs w:val="24"/>
        </w:rPr>
      </w:pPr>
      <w:r>
        <w:rPr>
          <w:b/>
          <w:sz w:val="24"/>
          <w:szCs w:val="24"/>
        </w:rPr>
        <w:t xml:space="preserve">HOOC – </w:t>
      </w:r>
      <w:r>
        <w:rPr>
          <w:sz w:val="24"/>
          <w:szCs w:val="24"/>
        </w:rPr>
        <w:t>αλανίνη</w:t>
      </w:r>
      <w:r w:rsidR="003E5A3E" w:rsidRPr="003E5A3E">
        <w:rPr>
          <w:sz w:val="24"/>
          <w:szCs w:val="24"/>
        </w:rPr>
        <w:t xml:space="preserve"> </w:t>
      </w:r>
      <w:r w:rsidR="00D55633">
        <w:rPr>
          <w:b/>
          <w:sz w:val="24"/>
          <w:szCs w:val="24"/>
        </w:rPr>
        <w:t xml:space="preserve">- </w:t>
      </w:r>
      <w:r>
        <w:rPr>
          <w:sz w:val="24"/>
          <w:szCs w:val="24"/>
        </w:rPr>
        <w:t>αλανίνη</w:t>
      </w:r>
      <w:r w:rsidR="00D55633" w:rsidRPr="00D55633">
        <w:rPr>
          <w:sz w:val="24"/>
          <w:szCs w:val="24"/>
        </w:rPr>
        <w:t xml:space="preserve"> </w:t>
      </w:r>
      <w:r w:rsidR="00D55633">
        <w:rPr>
          <w:b/>
          <w:sz w:val="24"/>
          <w:szCs w:val="24"/>
        </w:rPr>
        <w:t xml:space="preserve">- </w:t>
      </w:r>
      <w:r>
        <w:rPr>
          <w:sz w:val="24"/>
          <w:szCs w:val="24"/>
        </w:rPr>
        <w:t>ιστιδίνη</w:t>
      </w:r>
      <w:r w:rsidR="00D55633" w:rsidRPr="00D55633">
        <w:rPr>
          <w:sz w:val="24"/>
          <w:szCs w:val="24"/>
        </w:rPr>
        <w:t xml:space="preserve"> </w:t>
      </w:r>
      <w:r w:rsidR="00D55633">
        <w:rPr>
          <w:b/>
          <w:sz w:val="24"/>
          <w:szCs w:val="24"/>
        </w:rPr>
        <w:t xml:space="preserve">- </w:t>
      </w:r>
      <w:r>
        <w:rPr>
          <w:sz w:val="24"/>
          <w:szCs w:val="24"/>
        </w:rPr>
        <w:t xml:space="preserve">γλυκίνη </w:t>
      </w:r>
      <w:r w:rsidR="00D55633">
        <w:rPr>
          <w:b/>
          <w:sz w:val="24"/>
          <w:szCs w:val="24"/>
        </w:rPr>
        <w:t xml:space="preserve">- </w:t>
      </w:r>
      <w:r>
        <w:rPr>
          <w:sz w:val="24"/>
          <w:szCs w:val="24"/>
        </w:rPr>
        <w:t>σερίνη</w:t>
      </w:r>
      <w:r w:rsidR="00D55633" w:rsidRPr="00D55633">
        <w:rPr>
          <w:sz w:val="24"/>
          <w:szCs w:val="24"/>
        </w:rPr>
        <w:t xml:space="preserve"> </w:t>
      </w:r>
      <w:r>
        <w:rPr>
          <w:b/>
          <w:sz w:val="24"/>
          <w:szCs w:val="24"/>
        </w:rPr>
        <w:t>– NH</w:t>
      </w:r>
      <w:r>
        <w:rPr>
          <w:b/>
          <w:sz w:val="24"/>
          <w:szCs w:val="24"/>
          <w:vertAlign w:val="subscript"/>
        </w:rPr>
        <w:t>2</w:t>
      </w:r>
    </w:p>
    <w:p w:rsidR="00C23B1F" w:rsidRDefault="00115B97">
      <w:pPr>
        <w:spacing w:line="360" w:lineRule="auto"/>
        <w:rPr>
          <w:sz w:val="24"/>
          <w:szCs w:val="24"/>
        </w:rPr>
      </w:pPr>
      <w:r>
        <w:rPr>
          <w:sz w:val="24"/>
          <w:szCs w:val="24"/>
        </w:rPr>
        <w:t>α. Να προσδιορίσετε τη σχετική μοριακή μάζα όλου</w:t>
      </w:r>
      <w:r w:rsidR="003E5A3E" w:rsidRPr="003E5A3E">
        <w:rPr>
          <w:sz w:val="24"/>
          <w:szCs w:val="24"/>
        </w:rPr>
        <w:t xml:space="preserve"> </w:t>
      </w:r>
      <w:r>
        <w:rPr>
          <w:sz w:val="24"/>
          <w:szCs w:val="24"/>
        </w:rPr>
        <w:t>του ολιγοπεπτιδίου με βάση τις σχετικές μοριακές μάζες των αμινοξέων του παρακάτω πίνακα. Να μην ληφθεί υπόψη η αφαίρεση μορίων νερού κατά τον σχηματισμό των πεπτιδικών δεσμών (μονάδες 3).</w:t>
      </w:r>
    </w:p>
    <w:p w:rsidR="00C23B1F" w:rsidRDefault="00C23B1F">
      <w:pPr>
        <w:spacing w:line="360" w:lineRule="auto"/>
        <w:rPr>
          <w:sz w:val="24"/>
          <w:szCs w:val="24"/>
        </w:rPr>
      </w:pPr>
    </w:p>
    <w:tbl>
      <w:tblPr>
        <w:tblStyle w:val="ab"/>
        <w:tblW w:w="6760" w:type="dxa"/>
        <w:jc w:val="center"/>
        <w:tblInd w:w="0" w:type="dxa"/>
        <w:tblBorders>
          <w:top w:val="single" w:sz="18" w:space="0" w:color="000000"/>
          <w:bottom w:val="single" w:sz="18" w:space="0" w:color="000000"/>
          <w:insideH w:val="single" w:sz="12" w:space="0" w:color="000000"/>
        </w:tblBorders>
        <w:tblLayout w:type="fixed"/>
        <w:tblLook w:val="0600" w:firstRow="0" w:lastRow="0" w:firstColumn="0" w:lastColumn="0" w:noHBand="1" w:noVBand="1"/>
      </w:tblPr>
      <w:tblGrid>
        <w:gridCol w:w="2120"/>
        <w:gridCol w:w="1160"/>
        <w:gridCol w:w="1160"/>
        <w:gridCol w:w="1160"/>
        <w:gridCol w:w="1160"/>
      </w:tblGrid>
      <w:tr w:rsidR="00C23B1F">
        <w:trPr>
          <w:trHeight w:val="466"/>
          <w:tblHeader/>
          <w:jc w:val="center"/>
        </w:trPr>
        <w:tc>
          <w:tcPr>
            <w:tcW w:w="2120" w:type="dxa"/>
            <w:tcMar>
              <w:top w:w="100" w:type="dxa"/>
              <w:left w:w="100" w:type="dxa"/>
              <w:bottom w:w="100" w:type="dxa"/>
              <w:right w:w="100" w:type="dxa"/>
            </w:tcMar>
            <w:vAlign w:val="center"/>
          </w:tcPr>
          <w:p w:rsidR="00C23B1F" w:rsidRDefault="00115B97">
            <w:pPr>
              <w:widowControl w:val="0"/>
              <w:pBdr>
                <w:top w:val="nil"/>
                <w:left w:val="nil"/>
                <w:bottom w:val="nil"/>
                <w:right w:val="nil"/>
                <w:between w:val="nil"/>
              </w:pBdr>
              <w:spacing w:line="360" w:lineRule="auto"/>
              <w:jc w:val="left"/>
              <w:rPr>
                <w:b/>
                <w:sz w:val="24"/>
                <w:szCs w:val="24"/>
              </w:rPr>
            </w:pPr>
            <w:r>
              <w:rPr>
                <w:b/>
                <w:sz w:val="24"/>
                <w:szCs w:val="24"/>
              </w:rPr>
              <w:t>Αμινοξέα</w:t>
            </w:r>
          </w:p>
        </w:tc>
        <w:tc>
          <w:tcPr>
            <w:tcW w:w="1160" w:type="dxa"/>
            <w:shd w:val="clear" w:color="auto" w:fill="auto"/>
            <w:tcMar>
              <w:top w:w="100" w:type="dxa"/>
              <w:left w:w="100" w:type="dxa"/>
              <w:bottom w:w="100" w:type="dxa"/>
              <w:right w:w="100" w:type="dxa"/>
            </w:tcMar>
            <w:vAlign w:val="center"/>
          </w:tcPr>
          <w:p w:rsidR="00C23B1F" w:rsidRDefault="00115B97" w:rsidP="00750D9E">
            <w:pPr>
              <w:spacing w:line="360" w:lineRule="auto"/>
              <w:jc w:val="center"/>
              <w:rPr>
                <w:b/>
                <w:sz w:val="24"/>
                <w:szCs w:val="24"/>
              </w:rPr>
            </w:pPr>
            <w:r>
              <w:rPr>
                <w:sz w:val="24"/>
                <w:szCs w:val="24"/>
              </w:rPr>
              <w:t>αλανίνη</w:t>
            </w:r>
          </w:p>
        </w:tc>
        <w:tc>
          <w:tcPr>
            <w:tcW w:w="1160" w:type="dxa"/>
            <w:shd w:val="clear" w:color="auto" w:fill="auto"/>
            <w:tcMar>
              <w:top w:w="100" w:type="dxa"/>
              <w:left w:w="100" w:type="dxa"/>
              <w:bottom w:w="100" w:type="dxa"/>
              <w:right w:w="100" w:type="dxa"/>
            </w:tcMar>
            <w:vAlign w:val="center"/>
          </w:tcPr>
          <w:p w:rsidR="00C23B1F" w:rsidRDefault="00115B97" w:rsidP="00750D9E">
            <w:pPr>
              <w:spacing w:line="360" w:lineRule="auto"/>
              <w:jc w:val="center"/>
              <w:rPr>
                <w:b/>
                <w:sz w:val="24"/>
                <w:szCs w:val="24"/>
              </w:rPr>
            </w:pPr>
            <w:r>
              <w:rPr>
                <w:sz w:val="24"/>
                <w:szCs w:val="24"/>
              </w:rPr>
              <w:t>γλυκίνη</w:t>
            </w:r>
          </w:p>
        </w:tc>
        <w:tc>
          <w:tcPr>
            <w:tcW w:w="1160" w:type="dxa"/>
            <w:shd w:val="clear" w:color="auto" w:fill="auto"/>
            <w:tcMar>
              <w:top w:w="100" w:type="dxa"/>
              <w:left w:w="100" w:type="dxa"/>
              <w:bottom w:w="100" w:type="dxa"/>
              <w:right w:w="100" w:type="dxa"/>
            </w:tcMar>
            <w:vAlign w:val="center"/>
          </w:tcPr>
          <w:p w:rsidR="00C23B1F" w:rsidRDefault="00115B97" w:rsidP="00750D9E">
            <w:pPr>
              <w:spacing w:line="360" w:lineRule="auto"/>
              <w:jc w:val="center"/>
              <w:rPr>
                <w:b/>
                <w:sz w:val="24"/>
                <w:szCs w:val="24"/>
              </w:rPr>
            </w:pPr>
            <w:r>
              <w:rPr>
                <w:sz w:val="24"/>
                <w:szCs w:val="24"/>
              </w:rPr>
              <w:t>ιστιδίνη</w:t>
            </w:r>
          </w:p>
        </w:tc>
        <w:tc>
          <w:tcPr>
            <w:tcW w:w="1160" w:type="dxa"/>
            <w:shd w:val="clear" w:color="auto" w:fill="auto"/>
            <w:tcMar>
              <w:top w:w="100" w:type="dxa"/>
              <w:left w:w="100" w:type="dxa"/>
              <w:bottom w:w="100" w:type="dxa"/>
              <w:right w:w="100" w:type="dxa"/>
            </w:tcMar>
            <w:vAlign w:val="center"/>
          </w:tcPr>
          <w:p w:rsidR="00C23B1F" w:rsidRDefault="00115B97" w:rsidP="00750D9E">
            <w:pPr>
              <w:spacing w:line="360" w:lineRule="auto"/>
              <w:jc w:val="center"/>
              <w:rPr>
                <w:b/>
                <w:sz w:val="24"/>
                <w:szCs w:val="24"/>
              </w:rPr>
            </w:pPr>
            <w:r>
              <w:rPr>
                <w:sz w:val="24"/>
                <w:szCs w:val="24"/>
              </w:rPr>
              <w:t>σερίνη</w:t>
            </w:r>
          </w:p>
        </w:tc>
      </w:tr>
      <w:tr w:rsidR="00C23B1F">
        <w:trPr>
          <w:trHeight w:val="226"/>
          <w:jc w:val="center"/>
        </w:trPr>
        <w:tc>
          <w:tcPr>
            <w:tcW w:w="2120" w:type="dxa"/>
            <w:shd w:val="clear" w:color="auto" w:fill="auto"/>
            <w:tcMar>
              <w:top w:w="100" w:type="dxa"/>
              <w:left w:w="100" w:type="dxa"/>
              <w:bottom w:w="100" w:type="dxa"/>
              <w:right w:w="100" w:type="dxa"/>
            </w:tcMar>
            <w:vAlign w:val="center"/>
          </w:tcPr>
          <w:p w:rsidR="00C23B1F" w:rsidRDefault="00115B97">
            <w:pPr>
              <w:widowControl w:val="0"/>
              <w:pBdr>
                <w:top w:val="nil"/>
                <w:left w:val="nil"/>
                <w:bottom w:val="nil"/>
                <w:right w:val="nil"/>
                <w:between w:val="nil"/>
              </w:pBdr>
              <w:spacing w:line="360" w:lineRule="auto"/>
              <w:jc w:val="left"/>
              <w:rPr>
                <w:b/>
                <w:sz w:val="24"/>
                <w:szCs w:val="24"/>
              </w:rPr>
            </w:pPr>
            <w:r>
              <w:rPr>
                <w:b/>
                <w:sz w:val="24"/>
                <w:szCs w:val="24"/>
              </w:rPr>
              <w:t>Σχετική μοριακή μάζα</w:t>
            </w:r>
          </w:p>
        </w:tc>
        <w:tc>
          <w:tcPr>
            <w:tcW w:w="1160" w:type="dxa"/>
            <w:shd w:val="clear" w:color="auto" w:fill="auto"/>
            <w:tcMar>
              <w:top w:w="100" w:type="dxa"/>
              <w:left w:w="100" w:type="dxa"/>
              <w:bottom w:w="100" w:type="dxa"/>
              <w:right w:w="100" w:type="dxa"/>
            </w:tcMar>
            <w:vAlign w:val="center"/>
          </w:tcPr>
          <w:p w:rsidR="00C23B1F" w:rsidRDefault="00115B97" w:rsidP="00750D9E">
            <w:pPr>
              <w:widowControl w:val="0"/>
              <w:pBdr>
                <w:top w:val="nil"/>
                <w:left w:val="nil"/>
                <w:bottom w:val="nil"/>
                <w:right w:val="nil"/>
                <w:between w:val="nil"/>
              </w:pBdr>
              <w:spacing w:line="360" w:lineRule="auto"/>
              <w:jc w:val="center"/>
              <w:rPr>
                <w:sz w:val="24"/>
                <w:szCs w:val="24"/>
              </w:rPr>
            </w:pPr>
            <w:r>
              <w:rPr>
                <w:sz w:val="24"/>
                <w:szCs w:val="24"/>
              </w:rPr>
              <w:t>90</w:t>
            </w:r>
          </w:p>
        </w:tc>
        <w:tc>
          <w:tcPr>
            <w:tcW w:w="1160" w:type="dxa"/>
            <w:shd w:val="clear" w:color="auto" w:fill="auto"/>
            <w:tcMar>
              <w:top w:w="100" w:type="dxa"/>
              <w:left w:w="100" w:type="dxa"/>
              <w:bottom w:w="100" w:type="dxa"/>
              <w:right w:w="100" w:type="dxa"/>
            </w:tcMar>
            <w:vAlign w:val="center"/>
          </w:tcPr>
          <w:p w:rsidR="00C23B1F" w:rsidRDefault="00115B97" w:rsidP="00750D9E">
            <w:pPr>
              <w:widowControl w:val="0"/>
              <w:pBdr>
                <w:top w:val="nil"/>
                <w:left w:val="nil"/>
                <w:bottom w:val="nil"/>
                <w:right w:val="nil"/>
                <w:between w:val="nil"/>
              </w:pBdr>
              <w:spacing w:line="360" w:lineRule="auto"/>
              <w:jc w:val="center"/>
              <w:rPr>
                <w:sz w:val="24"/>
                <w:szCs w:val="24"/>
              </w:rPr>
            </w:pPr>
            <w:r>
              <w:rPr>
                <w:sz w:val="24"/>
                <w:szCs w:val="24"/>
              </w:rPr>
              <w:t>70</w:t>
            </w:r>
          </w:p>
        </w:tc>
        <w:tc>
          <w:tcPr>
            <w:tcW w:w="1160" w:type="dxa"/>
            <w:shd w:val="clear" w:color="auto" w:fill="auto"/>
            <w:tcMar>
              <w:top w:w="100" w:type="dxa"/>
              <w:left w:w="100" w:type="dxa"/>
              <w:bottom w:w="100" w:type="dxa"/>
              <w:right w:w="100" w:type="dxa"/>
            </w:tcMar>
            <w:vAlign w:val="center"/>
          </w:tcPr>
          <w:p w:rsidR="00C23B1F" w:rsidRDefault="00115B97" w:rsidP="00750D9E">
            <w:pPr>
              <w:widowControl w:val="0"/>
              <w:pBdr>
                <w:top w:val="nil"/>
                <w:left w:val="nil"/>
                <w:bottom w:val="nil"/>
                <w:right w:val="nil"/>
                <w:between w:val="nil"/>
              </w:pBdr>
              <w:spacing w:line="360" w:lineRule="auto"/>
              <w:jc w:val="center"/>
              <w:rPr>
                <w:sz w:val="24"/>
                <w:szCs w:val="24"/>
              </w:rPr>
            </w:pPr>
            <w:r>
              <w:rPr>
                <w:sz w:val="24"/>
                <w:szCs w:val="24"/>
              </w:rPr>
              <w:t>150</w:t>
            </w:r>
          </w:p>
        </w:tc>
        <w:tc>
          <w:tcPr>
            <w:tcW w:w="1160" w:type="dxa"/>
            <w:shd w:val="clear" w:color="auto" w:fill="auto"/>
            <w:tcMar>
              <w:top w:w="100" w:type="dxa"/>
              <w:left w:w="100" w:type="dxa"/>
              <w:bottom w:w="100" w:type="dxa"/>
              <w:right w:w="100" w:type="dxa"/>
            </w:tcMar>
            <w:vAlign w:val="center"/>
          </w:tcPr>
          <w:p w:rsidR="00C23B1F" w:rsidRDefault="00115B97" w:rsidP="00750D9E">
            <w:pPr>
              <w:widowControl w:val="0"/>
              <w:pBdr>
                <w:top w:val="nil"/>
                <w:left w:val="nil"/>
                <w:bottom w:val="nil"/>
                <w:right w:val="nil"/>
                <w:between w:val="nil"/>
              </w:pBdr>
              <w:spacing w:line="360" w:lineRule="auto"/>
              <w:jc w:val="center"/>
              <w:rPr>
                <w:sz w:val="24"/>
                <w:szCs w:val="24"/>
              </w:rPr>
            </w:pPr>
            <w:r>
              <w:rPr>
                <w:sz w:val="24"/>
                <w:szCs w:val="24"/>
              </w:rPr>
              <w:t>100</w:t>
            </w:r>
          </w:p>
        </w:tc>
      </w:tr>
    </w:tbl>
    <w:p w:rsidR="003E5A3E" w:rsidRDefault="003E5A3E">
      <w:pPr>
        <w:spacing w:line="360" w:lineRule="auto"/>
        <w:rPr>
          <w:sz w:val="24"/>
          <w:szCs w:val="24"/>
        </w:rPr>
      </w:pPr>
    </w:p>
    <w:p w:rsidR="00C23B1F" w:rsidRDefault="00115B97">
      <w:pPr>
        <w:spacing w:line="360" w:lineRule="auto"/>
        <w:rPr>
          <w:sz w:val="24"/>
          <w:szCs w:val="24"/>
        </w:rPr>
      </w:pPr>
      <w:r>
        <w:rPr>
          <w:sz w:val="24"/>
          <w:szCs w:val="24"/>
        </w:rPr>
        <w:t xml:space="preserve">β. Να εξηγήσετε ποιο από τα αμινοξέα της πεπτιδικής αλυσίδας τοποθετήθηκε πρώτο κατά τη διαδικασία της πρωτεϊνοσύνθεσης (μονάδες 2) και γιατί το συγκεκριμένο πεπτίδιο δεν έχει ως πρώτο αμινοξύ μεθειονίνη (μονάδες 2). </w:t>
      </w:r>
    </w:p>
    <w:p w:rsidR="00C23B1F" w:rsidRDefault="00115B97">
      <w:pPr>
        <w:spacing w:line="360" w:lineRule="auto"/>
        <w:rPr>
          <w:sz w:val="24"/>
          <w:szCs w:val="24"/>
        </w:rPr>
      </w:pPr>
      <w:r>
        <w:rPr>
          <w:sz w:val="24"/>
          <w:szCs w:val="24"/>
        </w:rPr>
        <w:lastRenderedPageBreak/>
        <w:t>γ. Έστω ότι ένα άλλο πεπτίδιο αποτελείται από τα ίδια είδη αμινοξέων. Να γράψετε δύο λόγους για τους οποίους θα εμφανίζει, πιθανότατα, διαφορετική λειτουργία από το πεπτίδιο της εκφώνησης (μονάδες 6).</w:t>
      </w:r>
    </w:p>
    <w:p w:rsidR="00C23B1F" w:rsidRDefault="00115B97">
      <w:pPr>
        <w:spacing w:line="360" w:lineRule="auto"/>
        <w:jc w:val="right"/>
        <w:rPr>
          <w:sz w:val="24"/>
          <w:szCs w:val="24"/>
        </w:rPr>
      </w:pPr>
      <w:r>
        <w:rPr>
          <w:b/>
          <w:sz w:val="24"/>
          <w:szCs w:val="24"/>
        </w:rPr>
        <w:t>Μονάδες 13</w:t>
      </w:r>
    </w:p>
    <w:sectPr w:rsidR="00C23B1F">
      <w:pgSz w:w="11906" w:h="16838"/>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ArialMT">
    <w:panose1 w:val="00000000000000000000"/>
    <w:charset w:val="00"/>
    <w:family w:val="roman"/>
    <w:notTrueType/>
    <w:pitch w:val="default"/>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B1F"/>
    <w:rsid w:val="00115B97"/>
    <w:rsid w:val="002A58D6"/>
    <w:rsid w:val="003E5A3E"/>
    <w:rsid w:val="00750D9E"/>
    <w:rsid w:val="00C23B1F"/>
    <w:rsid w:val="00C852E0"/>
    <w:rsid w:val="00D55633"/>
    <w:rsid w:val="00DC593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A83C00-8D55-4906-937C-25AD9D646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l-GR" w:eastAsia="el-GR"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36A"/>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Web">
    <w:name w:val="Normal (Web)"/>
    <w:basedOn w:val="a"/>
    <w:uiPriority w:val="99"/>
    <w:semiHidden/>
    <w:unhideWhenUsed/>
    <w:rsid w:val="002F350B"/>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character" w:customStyle="1" w:styleId="fontstyle01">
    <w:name w:val="fontstyle01"/>
    <w:basedOn w:val="a0"/>
    <w:rsid w:val="00822450"/>
    <w:rPr>
      <w:rFonts w:ascii="ArialMT" w:hAnsi="ArialMT" w:hint="default"/>
      <w:b w:val="0"/>
      <w:bCs w:val="0"/>
      <w:i w:val="0"/>
      <w:iCs w:val="0"/>
      <w:color w:val="000000"/>
      <w:sz w:val="22"/>
      <w:szCs w:val="22"/>
    </w:rPr>
  </w:style>
  <w:style w:type="character" w:styleId="a5">
    <w:name w:val="Strong"/>
    <w:basedOn w:val="a0"/>
    <w:uiPriority w:val="22"/>
    <w:qFormat/>
    <w:rsid w:val="0048177E"/>
    <w:rPr>
      <w:b/>
      <w:bCs/>
    </w:rPr>
  </w:style>
  <w:style w:type="table" w:styleId="a6">
    <w:name w:val="Table Grid"/>
    <w:basedOn w:val="a1"/>
    <w:uiPriority w:val="39"/>
    <w:rsid w:val="00CA382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paragraph" w:styleId="a8">
    <w:name w:val="annotation text"/>
    <w:basedOn w:val="a"/>
    <w:link w:val="Char"/>
    <w:uiPriority w:val="99"/>
    <w:semiHidden/>
    <w:unhideWhenUsed/>
    <w:pPr>
      <w:spacing w:line="240" w:lineRule="auto"/>
    </w:pPr>
    <w:rPr>
      <w:sz w:val="20"/>
      <w:szCs w:val="20"/>
    </w:rPr>
  </w:style>
  <w:style w:type="character" w:customStyle="1" w:styleId="Char">
    <w:name w:val="Κείμενο σχολίου Char"/>
    <w:basedOn w:val="a0"/>
    <w:link w:val="a8"/>
    <w:uiPriority w:val="99"/>
    <w:semiHidden/>
    <w:rPr>
      <w:sz w:val="20"/>
      <w:szCs w:val="20"/>
    </w:rPr>
  </w:style>
  <w:style w:type="character" w:styleId="a9">
    <w:name w:val="annotation reference"/>
    <w:basedOn w:val="a0"/>
    <w:uiPriority w:val="99"/>
    <w:semiHidden/>
    <w:unhideWhenUsed/>
    <w:rPr>
      <w:sz w:val="16"/>
      <w:szCs w:val="16"/>
    </w:rPr>
  </w:style>
  <w:style w:type="paragraph" w:styleId="aa">
    <w:name w:val="Balloon Text"/>
    <w:basedOn w:val="a"/>
    <w:link w:val="Char0"/>
    <w:uiPriority w:val="99"/>
    <w:semiHidden/>
    <w:unhideWhenUsed/>
    <w:rsid w:val="00E5561F"/>
    <w:pPr>
      <w:spacing w:line="240" w:lineRule="auto"/>
    </w:pPr>
    <w:rPr>
      <w:rFonts w:ascii="Segoe UI" w:hAnsi="Segoe UI" w:cs="Segoe UI"/>
      <w:sz w:val="18"/>
      <w:szCs w:val="18"/>
    </w:rPr>
  </w:style>
  <w:style w:type="character" w:customStyle="1" w:styleId="Char0">
    <w:name w:val="Κείμενο πλαισίου Char"/>
    <w:basedOn w:val="a0"/>
    <w:link w:val="aa"/>
    <w:uiPriority w:val="99"/>
    <w:semiHidden/>
    <w:rsid w:val="00E5561F"/>
    <w:rPr>
      <w:rFonts w:ascii="Segoe UI" w:hAnsi="Segoe UI" w:cs="Segoe UI"/>
      <w:sz w:val="18"/>
      <w:szCs w:val="18"/>
    </w:rPr>
  </w:style>
  <w:style w:type="table" w:customStyle="1" w:styleId="ab">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KpThDfdxPmvhNb6SyWM8QobLOUQ==">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302</Words>
  <Characters>1635</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8</cp:revision>
  <cp:lastPrinted>2023-02-05T17:56:00Z</cp:lastPrinted>
  <dcterms:created xsi:type="dcterms:W3CDTF">2023-02-05T15:35:00Z</dcterms:created>
  <dcterms:modified xsi:type="dcterms:W3CDTF">2023-02-06T16:33:00Z</dcterms:modified>
</cp:coreProperties>
</file>