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F9A9D" w14:textId="77777777" w:rsidR="00965B14" w:rsidRPr="00F62667" w:rsidRDefault="00965B14" w:rsidP="00965B14">
      <w:pPr>
        <w:pStyle w:val="a3"/>
        <w:spacing w:after="0" w:line="360" w:lineRule="auto"/>
        <w:rPr>
          <w:rFonts w:ascii="Calibri" w:hAnsi="Calibri" w:cs="Calibri"/>
          <w:bCs/>
          <w:color w:val="FF0000"/>
        </w:rPr>
      </w:pPr>
      <w:r w:rsidRPr="004F13C6">
        <w:rPr>
          <w:rFonts w:ascii="Calibri" w:hAnsi="Calibri" w:cs="Calibri"/>
          <w:b/>
          <w:bCs/>
          <w:u w:val="single"/>
        </w:rPr>
        <w:t>ΕΝΔΕΙΚΤΙΚΕΣ ΑΠΑΝΤΗΣΕΙΣ</w:t>
      </w:r>
      <w:r w:rsidR="00436D56">
        <w:rPr>
          <w:rFonts w:ascii="Calibri" w:hAnsi="Calibri" w:cs="Calibri"/>
          <w:bCs/>
        </w:rPr>
        <w:t xml:space="preserve"> </w:t>
      </w:r>
    </w:p>
    <w:p w14:paraId="083B7891" w14:textId="2FF7CB24" w:rsidR="009C4612" w:rsidRPr="005B0480" w:rsidRDefault="009C4612" w:rsidP="009C4612">
      <w:pPr>
        <w:spacing w:after="0" w:line="360" w:lineRule="auto"/>
        <w:jc w:val="both"/>
        <w:rPr>
          <w:rFonts w:ascii="Calibri" w:eastAsia="Calibri" w:hAnsi="Calibri" w:cs="Calibri"/>
          <w:b/>
          <w:sz w:val="24"/>
          <w:szCs w:val="24"/>
          <w:u w:val="single"/>
        </w:rPr>
      </w:pPr>
      <w:r w:rsidRPr="00F8299C">
        <w:rPr>
          <w:rFonts w:ascii="Calibri" w:eastAsia="Calibri" w:hAnsi="Calibri" w:cs="Calibri"/>
          <w:b/>
          <w:sz w:val="24"/>
          <w:szCs w:val="24"/>
          <w:u w:val="single"/>
        </w:rPr>
        <w:t>Θ</w:t>
      </w:r>
      <w:r w:rsidR="00366694">
        <w:rPr>
          <w:rFonts w:ascii="Calibri" w:eastAsia="Calibri" w:hAnsi="Calibri" w:cs="Calibri"/>
          <w:b/>
          <w:sz w:val="24"/>
          <w:szCs w:val="24"/>
          <w:u w:val="single"/>
        </w:rPr>
        <w:t>έμα</w:t>
      </w:r>
      <w:r w:rsidRPr="00F8299C">
        <w:rPr>
          <w:rFonts w:ascii="Calibri" w:eastAsia="Calibri" w:hAnsi="Calibri" w:cs="Calibri"/>
          <w:b/>
          <w:sz w:val="24"/>
          <w:szCs w:val="24"/>
          <w:u w:val="single"/>
        </w:rPr>
        <w:t xml:space="preserve"> 2</w:t>
      </w:r>
      <w:r w:rsidR="00FD0D71">
        <w:rPr>
          <w:rFonts w:ascii="Calibri" w:eastAsia="Calibri" w:hAnsi="Calibri" w:cs="Calibri"/>
          <w:b/>
          <w:sz w:val="24"/>
          <w:szCs w:val="24"/>
          <w:u w:val="single"/>
          <w:vertAlign w:val="superscript"/>
        </w:rPr>
        <w:t>ο</w:t>
      </w:r>
      <w:r w:rsidRPr="00F8299C">
        <w:rPr>
          <w:rFonts w:ascii="Calibri" w:eastAsia="Calibri" w:hAnsi="Calibri" w:cs="Calibri"/>
          <w:b/>
          <w:sz w:val="24"/>
          <w:szCs w:val="24"/>
          <w:u w:val="single"/>
        </w:rPr>
        <w:t xml:space="preserve"> </w:t>
      </w:r>
    </w:p>
    <w:p w14:paraId="6C8D0BFE" w14:textId="77777777" w:rsidR="009C4612" w:rsidRDefault="009C4612" w:rsidP="009C4612">
      <w:pPr>
        <w:spacing w:after="0" w:line="360" w:lineRule="auto"/>
        <w:jc w:val="both"/>
        <w:rPr>
          <w:rFonts w:ascii="Calibri" w:eastAsia="Calibri" w:hAnsi="Calibri" w:cs="Calibri"/>
          <w:b/>
          <w:sz w:val="24"/>
          <w:szCs w:val="24"/>
        </w:rPr>
      </w:pPr>
      <w:r>
        <w:rPr>
          <w:rFonts w:ascii="Calibri" w:eastAsia="Calibri" w:hAnsi="Calibri" w:cs="Calibri"/>
          <w:b/>
          <w:sz w:val="24"/>
          <w:szCs w:val="24"/>
        </w:rPr>
        <w:t>2.1</w:t>
      </w:r>
    </w:p>
    <w:p w14:paraId="7A120DC0" w14:textId="1BFFC67C" w:rsidR="009C4612" w:rsidRDefault="009C4612" w:rsidP="009C4612">
      <w:pPr>
        <w:spacing w:after="0" w:line="360" w:lineRule="auto"/>
        <w:jc w:val="both"/>
        <w:rPr>
          <w:rFonts w:ascii="Calibri" w:eastAsia="Calibri" w:hAnsi="Calibri" w:cs="Calibri"/>
          <w:b/>
          <w:sz w:val="24"/>
          <w:szCs w:val="24"/>
        </w:rPr>
      </w:pPr>
      <w:r>
        <w:rPr>
          <w:rFonts w:ascii="Calibri" w:eastAsia="Calibri" w:hAnsi="Calibri" w:cs="Calibri"/>
          <w:b/>
          <w:sz w:val="24"/>
          <w:szCs w:val="24"/>
        </w:rPr>
        <w:t xml:space="preserve">1. </w:t>
      </w:r>
      <w:r w:rsidR="00F62667">
        <w:rPr>
          <w:rFonts w:ascii="Calibri" w:eastAsia="Calibri" w:hAnsi="Calibri" w:cs="Calibri"/>
          <w:sz w:val="24"/>
          <w:szCs w:val="24"/>
        </w:rPr>
        <w:t>ε</w:t>
      </w:r>
    </w:p>
    <w:p w14:paraId="21A66FF8" w14:textId="24B00A0B" w:rsidR="00952AD5" w:rsidRDefault="009C4612" w:rsidP="009C4612">
      <w:pPr>
        <w:spacing w:after="0" w:line="360" w:lineRule="auto"/>
        <w:jc w:val="both"/>
        <w:rPr>
          <w:rFonts w:ascii="Calibri" w:eastAsia="Calibri" w:hAnsi="Calibri" w:cs="Calibri"/>
          <w:sz w:val="24"/>
          <w:szCs w:val="24"/>
        </w:rPr>
      </w:pPr>
      <w:r>
        <w:rPr>
          <w:rFonts w:ascii="Calibri" w:eastAsia="Calibri" w:hAnsi="Calibri" w:cs="Calibri"/>
          <w:b/>
          <w:sz w:val="24"/>
          <w:szCs w:val="24"/>
        </w:rPr>
        <w:t xml:space="preserve">2. </w:t>
      </w:r>
      <w:r w:rsidR="00F62667">
        <w:rPr>
          <w:rFonts w:ascii="Calibri" w:eastAsia="Calibri" w:hAnsi="Calibri" w:cs="Calibri"/>
          <w:sz w:val="24"/>
          <w:szCs w:val="24"/>
        </w:rPr>
        <w:t>δ</w:t>
      </w:r>
    </w:p>
    <w:p w14:paraId="09224242" w14:textId="5041334C" w:rsidR="00952AD5" w:rsidRDefault="00952AD5" w:rsidP="009C4612">
      <w:pPr>
        <w:spacing w:after="0" w:line="360" w:lineRule="auto"/>
        <w:jc w:val="both"/>
        <w:rPr>
          <w:rFonts w:ascii="Calibri" w:eastAsia="Calibri" w:hAnsi="Calibri" w:cs="Calibri"/>
          <w:sz w:val="24"/>
          <w:szCs w:val="24"/>
        </w:rPr>
      </w:pPr>
      <w:r w:rsidRPr="00952AD5">
        <w:rPr>
          <w:rFonts w:ascii="Calibri" w:eastAsia="Calibri" w:hAnsi="Calibri" w:cs="Calibri"/>
          <w:b/>
          <w:sz w:val="24"/>
          <w:szCs w:val="24"/>
        </w:rPr>
        <w:t>3.</w:t>
      </w:r>
      <w:r w:rsidR="00436D56">
        <w:rPr>
          <w:rFonts w:ascii="Calibri" w:eastAsia="Calibri" w:hAnsi="Calibri" w:cs="Calibri"/>
          <w:sz w:val="24"/>
          <w:szCs w:val="24"/>
        </w:rPr>
        <w:t xml:space="preserve"> </w:t>
      </w:r>
      <w:r w:rsidR="00F62667">
        <w:rPr>
          <w:rFonts w:ascii="Calibri" w:eastAsia="Calibri" w:hAnsi="Calibri" w:cs="Calibri"/>
          <w:sz w:val="24"/>
          <w:szCs w:val="24"/>
        </w:rPr>
        <w:t>β</w:t>
      </w:r>
    </w:p>
    <w:p w14:paraId="02548432" w14:textId="44F034AF" w:rsidR="00436D56" w:rsidRDefault="00952AD5" w:rsidP="009C4612">
      <w:pPr>
        <w:spacing w:after="0" w:line="360" w:lineRule="auto"/>
        <w:jc w:val="both"/>
        <w:rPr>
          <w:rFonts w:ascii="Calibri" w:eastAsia="Calibri" w:hAnsi="Calibri" w:cs="Calibri"/>
          <w:sz w:val="24"/>
          <w:szCs w:val="24"/>
        </w:rPr>
      </w:pPr>
      <w:r w:rsidRPr="00952AD5">
        <w:rPr>
          <w:rFonts w:ascii="Calibri" w:eastAsia="Calibri" w:hAnsi="Calibri" w:cs="Calibri"/>
          <w:b/>
          <w:sz w:val="24"/>
          <w:szCs w:val="24"/>
        </w:rPr>
        <w:t>4.</w:t>
      </w:r>
      <w:r>
        <w:rPr>
          <w:rFonts w:ascii="Calibri" w:eastAsia="Calibri" w:hAnsi="Calibri" w:cs="Calibri"/>
          <w:sz w:val="24"/>
          <w:szCs w:val="24"/>
        </w:rPr>
        <w:t xml:space="preserve"> </w:t>
      </w:r>
      <w:r w:rsidR="00F62667">
        <w:rPr>
          <w:rFonts w:ascii="Calibri" w:eastAsia="Calibri" w:hAnsi="Calibri" w:cs="Calibri"/>
          <w:sz w:val="24"/>
          <w:szCs w:val="24"/>
        </w:rPr>
        <w:t>γ</w:t>
      </w:r>
    </w:p>
    <w:p w14:paraId="7F6017B3" w14:textId="0A877361" w:rsidR="009C4612" w:rsidRPr="00436D56" w:rsidRDefault="00436D56" w:rsidP="009C4612">
      <w:pPr>
        <w:spacing w:after="0" w:line="360" w:lineRule="auto"/>
        <w:jc w:val="both"/>
        <w:rPr>
          <w:rFonts w:ascii="Calibri" w:eastAsia="Calibri" w:hAnsi="Calibri" w:cs="Calibri"/>
          <w:b/>
          <w:sz w:val="24"/>
          <w:szCs w:val="24"/>
        </w:rPr>
      </w:pPr>
      <w:r>
        <w:rPr>
          <w:rFonts w:ascii="Calibri" w:eastAsia="Calibri" w:hAnsi="Calibri" w:cs="Calibri"/>
          <w:b/>
          <w:sz w:val="24"/>
          <w:szCs w:val="24"/>
        </w:rPr>
        <w:t xml:space="preserve">5. </w:t>
      </w:r>
      <w:r w:rsidR="00F62667">
        <w:rPr>
          <w:rFonts w:ascii="Calibri" w:eastAsia="Calibri" w:hAnsi="Calibri" w:cs="Calibri"/>
          <w:sz w:val="24"/>
          <w:szCs w:val="24"/>
        </w:rPr>
        <w:t>α</w:t>
      </w:r>
    </w:p>
    <w:p w14:paraId="247A2E4F" w14:textId="77777777" w:rsidR="00952AD5" w:rsidRPr="00952AD5" w:rsidRDefault="00952AD5" w:rsidP="009C4612">
      <w:pPr>
        <w:spacing w:after="0" w:line="360" w:lineRule="auto"/>
        <w:jc w:val="both"/>
        <w:rPr>
          <w:rFonts w:ascii="Calibri" w:eastAsia="Calibri" w:hAnsi="Calibri" w:cs="Calibri"/>
          <w:sz w:val="24"/>
          <w:szCs w:val="24"/>
        </w:rPr>
      </w:pPr>
    </w:p>
    <w:p w14:paraId="7E4F560D" w14:textId="77777777" w:rsidR="009C4612" w:rsidRDefault="009C4612" w:rsidP="009C4612">
      <w:pPr>
        <w:spacing w:after="0" w:line="360" w:lineRule="auto"/>
        <w:jc w:val="both"/>
        <w:rPr>
          <w:rFonts w:ascii="Calibri" w:eastAsia="Calibri" w:hAnsi="Calibri" w:cs="Calibri"/>
          <w:b/>
          <w:sz w:val="24"/>
          <w:szCs w:val="24"/>
        </w:rPr>
      </w:pPr>
      <w:r>
        <w:rPr>
          <w:rFonts w:ascii="Calibri" w:eastAsia="Calibri" w:hAnsi="Calibri" w:cs="Calibri"/>
          <w:b/>
          <w:sz w:val="24"/>
          <w:szCs w:val="24"/>
        </w:rPr>
        <w:t>2.2</w:t>
      </w:r>
    </w:p>
    <w:p w14:paraId="7ABA47C4" w14:textId="77777777" w:rsidR="00F62667" w:rsidRDefault="00F62667" w:rsidP="00F62667">
      <w:pPr>
        <w:spacing w:after="0" w:line="360" w:lineRule="auto"/>
        <w:jc w:val="both"/>
        <w:rPr>
          <w:rFonts w:ascii="Calibri" w:eastAsia="Calibri" w:hAnsi="Calibri" w:cs="Calibri"/>
          <w:sz w:val="24"/>
          <w:szCs w:val="24"/>
        </w:rPr>
      </w:pPr>
      <w:r>
        <w:rPr>
          <w:rFonts w:ascii="Calibri" w:eastAsia="Calibri" w:hAnsi="Calibri" w:cs="Calibri"/>
          <w:sz w:val="24"/>
          <w:szCs w:val="24"/>
        </w:rPr>
        <w:t>Το υγρό καύσιμο ρέει στο χώρο καύσης, που είναι συνήθως ένα κυλινδρικό δοχείο, διαμέτρου 100 έως 300</w:t>
      </w:r>
      <w:r w:rsidRPr="00F62667">
        <w:rPr>
          <w:rFonts w:ascii="Calibri" w:eastAsia="Calibri" w:hAnsi="Calibri" w:cs="Calibri"/>
          <w:sz w:val="24"/>
          <w:szCs w:val="24"/>
        </w:rPr>
        <w:t xml:space="preserve"> </w:t>
      </w:r>
      <w:r>
        <w:rPr>
          <w:rFonts w:ascii="Calibri" w:eastAsia="Calibri" w:hAnsi="Calibri" w:cs="Calibri"/>
          <w:sz w:val="24"/>
          <w:szCs w:val="24"/>
          <w:lang w:val="en-US"/>
        </w:rPr>
        <w:t>mm</w:t>
      </w:r>
      <w:r w:rsidRPr="00F62667">
        <w:rPr>
          <w:rFonts w:ascii="Calibri" w:eastAsia="Calibri" w:hAnsi="Calibri" w:cs="Calibri"/>
          <w:sz w:val="24"/>
          <w:szCs w:val="24"/>
        </w:rPr>
        <w:t xml:space="preserve">, </w:t>
      </w:r>
      <w:r>
        <w:rPr>
          <w:rFonts w:ascii="Calibri" w:eastAsia="Calibri" w:hAnsi="Calibri" w:cs="Calibri"/>
          <w:sz w:val="24"/>
          <w:szCs w:val="24"/>
        </w:rPr>
        <w:t xml:space="preserve">με επίπεδη βάση και ελαφρά κλίση προς το κέντρο της, ώστε στην κοιλότητα που δημιουργείται, να συγκεντρώνεται το πετρέλαιο στην αρχή της καύσης. Μερικά εκατοστά ψηλότερα από την κοιλότητα αυτή, υπάρχουν οπές, διαμέτρου 1-1,5 </w:t>
      </w:r>
      <w:r>
        <w:rPr>
          <w:rFonts w:ascii="Calibri" w:eastAsia="Calibri" w:hAnsi="Calibri" w:cs="Calibri"/>
          <w:sz w:val="24"/>
          <w:szCs w:val="24"/>
          <w:lang w:val="en-US"/>
        </w:rPr>
        <w:t>mm</w:t>
      </w:r>
      <w:r>
        <w:rPr>
          <w:rFonts w:ascii="Calibri" w:eastAsia="Calibri" w:hAnsi="Calibri" w:cs="Calibri"/>
          <w:sz w:val="24"/>
          <w:szCs w:val="24"/>
        </w:rPr>
        <w:t xml:space="preserve">, σε κανονικές αποστάσεις μεταξύ τους, από όπου εισέρχεται ο αέρας που απαιτείται για την καύση του καυσίμου. Υψηλότερα από αυτές τις οπές αερισμού, υπάρχει σειρά από δακτυλίους χυτοσιδήρου, που στηρίζονται στα τοιχώματα του κυλίνδρου και έχουν στόχο την ατμοποίηση του πετρελαίου, γεγονός που θα επιφέρει την καλύτερη δυνατή καύση, με άμεσο επακόλουθο την επίτευξη υψηλών θερμοκρασιών στο θάλαμο καύσης. </w:t>
      </w:r>
    </w:p>
    <w:p w14:paraId="0A05985B" w14:textId="7FF65751" w:rsidR="00965B14" w:rsidRPr="00F62667" w:rsidRDefault="00F62667" w:rsidP="00F62667">
      <w:pPr>
        <w:spacing w:after="0" w:line="360" w:lineRule="auto"/>
        <w:jc w:val="both"/>
        <w:rPr>
          <w:rFonts w:ascii="Calibri" w:hAnsi="Calibri" w:cs="Calibri"/>
          <w:color w:val="000000"/>
        </w:rPr>
      </w:pPr>
      <w:r>
        <w:rPr>
          <w:rFonts w:ascii="Calibri" w:eastAsia="Calibri" w:hAnsi="Calibri" w:cs="Calibri"/>
          <w:sz w:val="24"/>
          <w:szCs w:val="24"/>
        </w:rPr>
        <w:t xml:space="preserve">Σε χρονικό διάστημα 10-15 λεπτών, η φλόγα στις θερμάστρες αποκτά γαλάζιο χρώμα-ένδειξη πολύ καλής καύσης- με αποτέλεσμα να παράγεται ελάχιστος καπνός και ο καυστήρας αποκτά βαθμό απόδοσης 90% περίπου.  </w:t>
      </w:r>
    </w:p>
    <w:p w14:paraId="13B2815A" w14:textId="77777777" w:rsidR="002B6076" w:rsidRPr="004F13C6" w:rsidRDefault="002B6076">
      <w:pPr>
        <w:rPr>
          <w:sz w:val="24"/>
          <w:szCs w:val="24"/>
        </w:rPr>
      </w:pPr>
    </w:p>
    <w:sectPr w:rsidR="002B6076" w:rsidRPr="004F13C6" w:rsidSect="00AC7148">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erif">
    <w:altName w:val="Times New Roman"/>
    <w:charset w:val="A1"/>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14"/>
    <w:rsid w:val="000E69D5"/>
    <w:rsid w:val="0014754C"/>
    <w:rsid w:val="00211592"/>
    <w:rsid w:val="002B6076"/>
    <w:rsid w:val="00366694"/>
    <w:rsid w:val="00436D56"/>
    <w:rsid w:val="00444B8F"/>
    <w:rsid w:val="004F13C6"/>
    <w:rsid w:val="005110B1"/>
    <w:rsid w:val="005245F5"/>
    <w:rsid w:val="007B4684"/>
    <w:rsid w:val="00850F35"/>
    <w:rsid w:val="008F4369"/>
    <w:rsid w:val="00952AD5"/>
    <w:rsid w:val="00965B14"/>
    <w:rsid w:val="009C4612"/>
    <w:rsid w:val="00AC7148"/>
    <w:rsid w:val="00C529BC"/>
    <w:rsid w:val="00D26396"/>
    <w:rsid w:val="00DD00CD"/>
    <w:rsid w:val="00ED2212"/>
    <w:rsid w:val="00F430BA"/>
    <w:rsid w:val="00F62667"/>
    <w:rsid w:val="00FD0D71"/>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CEAF"/>
  <w15:docId w15:val="{85E2307C-7642-42BE-A242-F5F678F4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60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965B14"/>
    <w:pPr>
      <w:suppressAutoHyphens/>
      <w:spacing w:after="140"/>
    </w:pPr>
    <w:rPr>
      <w:rFonts w:ascii="Liberation Serif" w:eastAsia="NSimSun" w:hAnsi="Liberation Serif" w:cs="Arial"/>
      <w:kern w:val="2"/>
      <w:sz w:val="24"/>
      <w:szCs w:val="24"/>
      <w:lang w:eastAsia="zh-CN" w:bidi="hi-IN"/>
    </w:rPr>
  </w:style>
  <w:style w:type="character" w:customStyle="1" w:styleId="Char">
    <w:name w:val="Σώμα κειμένου Char"/>
    <w:basedOn w:val="a0"/>
    <w:link w:val="a3"/>
    <w:rsid w:val="00965B14"/>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852</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Ανθή</dc:creator>
  <cp:lastModifiedBy>ΦΩΤΙΟΣ</cp:lastModifiedBy>
  <cp:revision>2</cp:revision>
  <dcterms:created xsi:type="dcterms:W3CDTF">2023-01-15T15:51:00Z</dcterms:created>
  <dcterms:modified xsi:type="dcterms:W3CDTF">2023-01-15T15:51:00Z</dcterms:modified>
</cp:coreProperties>
</file>