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bookmarkStart w:id="20" w:name="_GoBack"/>
      <w:bookmarkEnd w:id="20"/>
      <w:r>
        <w:rPr>
          <w:rFonts w:asciiTheme="minorHAnsi" w:hAnsiTheme="minorHAnsi" w:cstheme="minorHAnsi"/>
          <w:color w:val="auto"/>
          <w:sz w:val="24"/>
          <w:szCs w:val="24"/>
        </w:rPr>
        <w:t>ΑΔΙΔΑΚΤΟ ΚΕΙΜΕΝΟ</w:t>
      </w:r>
    </w:p>
    <w:p>
      <w:pPr>
        <w:jc w:val="center"/>
      </w:pPr>
      <w:bookmarkStart w:id="0" w:name="_Hlk123576657"/>
      <w:r>
        <w:rPr>
          <w:b/>
          <w:bCs/>
        </w:rPr>
        <w:t xml:space="preserve">Δημοσθένης, </w:t>
      </w:r>
      <w:r>
        <w:rPr>
          <w:b/>
          <w:bCs/>
          <w:i/>
          <w:iCs/>
        </w:rPr>
        <w:t>Κατ’ Ἀριστογείτονος Α</w:t>
      </w:r>
      <w:r>
        <w:rPr>
          <w:b/>
          <w:bCs/>
        </w:rPr>
        <w:t>, §§32-33</w:t>
      </w:r>
    </w:p>
    <w:bookmarkEnd w:id="0"/>
    <w:p>
      <w:pPr>
        <w:jc w:val="center"/>
      </w:pPr>
      <w:r>
        <w:rPr>
          <w:lang w:val="en-US"/>
        </w:rPr>
        <w:t>(</w:t>
      </w:r>
      <w:r>
        <w:t>έκδ</w:t>
      </w:r>
      <w:r>
        <w:rPr>
          <w:lang w:val="en-US"/>
        </w:rPr>
        <w:t xml:space="preserve">. </w:t>
      </w:r>
      <w:r>
        <w:t>του</w:t>
      </w:r>
      <w:r>
        <w:rPr>
          <w:lang w:val="en-US"/>
        </w:rPr>
        <w:t xml:space="preserve"> Butcher, S.H.  </w:t>
      </w:r>
      <w:r>
        <w:t xml:space="preserve">Οξφόρδη: </w:t>
      </w:r>
      <w:r>
        <w:rPr>
          <w:lang w:val="en-US"/>
        </w:rPr>
        <w:t>Clarendon</w:t>
      </w:r>
      <w:r>
        <w:t xml:space="preserve"> </w:t>
      </w:r>
      <w:r>
        <w:rPr>
          <w:lang w:val="en-US"/>
        </w:rPr>
        <w:t>Press</w:t>
      </w:r>
      <w:r>
        <w:t>, 1907, ανατ. 1966)</w:t>
      </w:r>
    </w:p>
    <w:p>
      <w:pPr>
        <w:spacing w:line="276" w:lineRule="auto"/>
      </w:pPr>
      <w:r>
        <w:t>Στον συγκεκριμένο λόγο ο ρήτορας αναφέρεται στη στάση του Αριστογείτονα απέναντι στους νόμους και γενικότερα στην ανηθικότητά του, που αποτελεί σοβαρή απειλή για την πόλη της Αθήνας.</w:t>
      </w:r>
    </w:p>
    <w:p>
      <w:pPr>
        <w:spacing w:line="276" w:lineRule="auto"/>
      </w:pPr>
    </w:p>
    <w:p>
      <w:pPr>
        <w:rPr>
          <w:rFonts w:ascii="Calibri" w:hAnsi="Calibri" w:cs="Calibri"/>
          <w:i/>
          <w:iCs/>
        </w:rPr>
      </w:pPr>
      <w:bookmarkStart w:id="1" w:name="_Hlk123134623"/>
      <w:r>
        <w:rPr>
          <w:i/>
          <w:iCs/>
        </w:rPr>
        <w:t>Τί</w:t>
      </w:r>
      <w:bookmarkEnd w:id="1"/>
      <w:r>
        <w:rPr>
          <w:i/>
          <w:iCs/>
        </w:rPr>
        <w:t xml:space="preserve"> γὰρ οὗτος ὀκνήσειεν ἄν, ὦ ἄνδρες Ἀθηναῖοι, </w:t>
      </w:r>
      <w:r>
        <w:rPr>
          <w:i/>
          <w:iCs/>
          <w:u w:val="single"/>
        </w:rPr>
        <w:t>τῶν ἀνηκέστων</w:t>
      </w:r>
      <w:r>
        <w:rPr>
          <w:i/>
          <w:iCs/>
        </w:rPr>
        <w:t xml:space="preserve"> ἢ δεινῶν, ἄνθρωπος μιαρὸς καὶ πατρικῆς ἔχθρας πρὸς τὸν δῆμον ἀνάμεστος; Τίς δ’ ἂν ἄλλος μᾶλλον, ὃ μὴ γένοιτο, ἀνατρέψειεν τὴν πόλιν, εἰ λάβοιτ’ ἐξουσίας; Οὐχ ὁρᾶθ’ ὅτι τῆς φύσεως αὐτοῦ καὶ πολιτείας οὐ λογισμὸς οὐδ’ αἰδὼς οὐδεμία, ἀλλ’ ἀπόνοι’ ἡγεῖται, μᾶλλον δ’ ὅλον ἔστ’ ἀπόνοι’ ἡ τούτου πολιτεία; Ἣ μέγιστον μέν ἐστιν αὐτῷ τῷ ἔχοντι κακόν, δεινὸν δὲ καὶ χαλεπὸν πᾶσι, πόλει δ’ οὐκ ἀνεκτόν. Ὁ γὰρ ἀπονενοημένος ἅπας ἑαυτὸν μὲν προεῖται καὶ τὴν ἐκ λογισμοῦ σωτηρίαν, ἐκ δὲ τοῦ παραδόξου καὶ παραλόγου, ἐὰν ἄρα σωθῇ͵ σῴζεται. Τίς ἂν οὖν εὖ φρονῶν αὑτὸν ἂν ἢ τὰ τῇ πατρίδι συμφέροντα ταύτῃ συνάψειεν; </w:t>
      </w:r>
      <w:bookmarkStart w:id="2" w:name="_Hlk123136323"/>
      <w:r>
        <w:rPr>
          <w:i/>
          <w:iCs/>
        </w:rPr>
        <w:t>Τίς</w:t>
      </w:r>
      <w:bookmarkEnd w:id="2"/>
      <w:r>
        <w:rPr>
          <w:i/>
          <w:iCs/>
        </w:rPr>
        <w:t xml:space="preserve"> οὐκ ἂν εἰς ὅσον δυνατὸν φεύγοι, καὶ τὸν ἔχοντα ταύτην ἐκποδὼν ποιήσαιτο, ἵνα μηδ’ </w:t>
      </w:r>
      <w:r>
        <w:rPr>
          <w:i/>
          <w:iCs/>
          <w:u w:val="single"/>
        </w:rPr>
        <w:t>ἄκων</w:t>
      </w:r>
      <w:r>
        <w:rPr>
          <w:i/>
          <w:iCs/>
        </w:rPr>
        <w:t xml:space="preserve"> αὐτῇ ποτε περιπέσῃ; Οὐκ ἀπονοίας, ὦ ἄνδρες Ἀθηναῖοι, τοὺς ὑπὲρ πατρίδος βουλευομένους</w:t>
      </w:r>
      <w:bookmarkStart w:id="3" w:name="_Hlk123136652"/>
      <w:r>
        <w:rPr>
          <w:i/>
          <w:iCs/>
        </w:rPr>
        <w:t xml:space="preserve"> δεῖ </w:t>
      </w:r>
      <w:bookmarkEnd w:id="3"/>
      <w:r>
        <w:rPr>
          <w:i/>
          <w:iCs/>
          <w:u w:val="single"/>
        </w:rPr>
        <w:t>ζητεῖν</w:t>
      </w:r>
      <w:r>
        <w:rPr>
          <w:i/>
          <w:iCs/>
        </w:rPr>
        <w:t xml:space="preserve"> ὅτῳ κοινωνήσουσιν, ἀλλὰ νοῦ καὶ φρενῶν ἀγαθῶν καὶ προνοίας πολλῆς. Ταῦτα μὲν γὰρ εἰς εὐδαιμονίαν ἄγει πάντας ἀνθρώπους, ἐκείνη δ’ οἷ τοῦτον ἀπελθεῖν δεῖ.</w:t>
      </w:r>
    </w:p>
    <w:p>
      <w:pPr>
        <w:rPr>
          <w:szCs w:val="24"/>
        </w:rPr>
      </w:pPr>
      <w:r>
        <w:t xml:space="preserve"> </w:t>
      </w:r>
      <w:r>
        <w:rPr>
          <w:szCs w:val="24"/>
        </w:rPr>
        <w:t>--------</w:t>
      </w:r>
    </w:p>
    <w:p>
      <w:pPr>
        <w:rPr>
          <w:szCs w:val="24"/>
        </w:rPr>
      </w:pPr>
      <w:r>
        <w:rPr>
          <w:b/>
          <w:bCs/>
          <w:i/>
          <w:iCs/>
          <w:szCs w:val="24"/>
        </w:rPr>
        <w:t>ἀνήκεστος, -ον</w:t>
      </w:r>
      <w:r>
        <w:rPr>
          <w:b/>
          <w:bCs/>
          <w:szCs w:val="24"/>
        </w:rPr>
        <w:t xml:space="preserve">: </w:t>
      </w:r>
      <w:r>
        <w:rPr>
          <w:szCs w:val="24"/>
        </w:rPr>
        <w:t>ανίατος, αθεράπευτος</w:t>
      </w:r>
    </w:p>
    <w:p>
      <w:pPr>
        <w:rPr>
          <w:szCs w:val="24"/>
        </w:rPr>
      </w:pPr>
      <w:r>
        <w:rPr>
          <w:b/>
          <w:bCs/>
          <w:i/>
          <w:iCs/>
        </w:rPr>
        <w:t>ἀπόνοια</w:t>
      </w:r>
      <w:r>
        <w:rPr>
          <w:b/>
          <w:bCs/>
          <w:i/>
          <w:iCs/>
          <w:szCs w:val="24"/>
        </w:rPr>
        <w:t>:</w:t>
      </w:r>
      <w:r>
        <w:rPr>
          <w:szCs w:val="24"/>
        </w:rPr>
        <w:t xml:space="preserve"> </w:t>
      </w:r>
      <w:r>
        <w:t>παράνοια</w:t>
      </w:r>
    </w:p>
    <w:p>
      <w:pPr>
        <w:rPr>
          <w:b/>
          <w:bCs/>
          <w:szCs w:val="24"/>
        </w:rPr>
      </w:pPr>
      <w:r>
        <w:rPr>
          <w:b/>
          <w:bCs/>
          <w:szCs w:val="24"/>
        </w:rPr>
        <w:t>ΠΑΡΑΤΗΡΗΣΕΙΣ</w:t>
      </w:r>
    </w:p>
    <w:p>
      <w:pPr>
        <w:rPr>
          <w:rFonts w:eastAsia="Calibri" w:cs="Times New Roman"/>
          <w:i/>
          <w:iCs/>
          <w:szCs w:val="24"/>
        </w:rPr>
      </w:pPr>
      <w:bookmarkStart w:id="4" w:name="_Hlk123130537"/>
      <w:r>
        <w:rPr>
          <w:b/>
          <w:bCs/>
          <w:szCs w:val="24"/>
        </w:rPr>
        <w:t xml:space="preserve">Γ1. </w:t>
      </w:r>
      <w:bookmarkEnd w:id="4"/>
      <w:r>
        <w:rPr>
          <w:rFonts w:eastAsia="Calibri" w:cs="Times New Roman"/>
        </w:rPr>
        <w:t>Να μεταφράσετε στη Νέα Ελληνική το απόσπασμα: «</w:t>
      </w:r>
      <w:r>
        <w:rPr>
          <w:b/>
          <w:bCs/>
          <w:i/>
          <w:iCs/>
        </w:rPr>
        <w:t>Τί γὰρ οὗτος ὀκνήσειεν ἄν,</w:t>
      </w:r>
      <w:r>
        <w:rPr>
          <w:rFonts w:eastAsia="Calibri" w:cs="Times New Roman"/>
          <w:b/>
          <w:bCs/>
          <w:i/>
          <w:iCs/>
          <w:szCs w:val="24"/>
        </w:rPr>
        <w:t xml:space="preserve"> …</w:t>
      </w:r>
      <w:r>
        <w:rPr>
          <w:b/>
          <w:bCs/>
          <w:i/>
          <w:iCs/>
        </w:rPr>
        <w:t>ἐὰν ἄρα σωθῇ͵ σῴζεται</w:t>
      </w:r>
      <w:r>
        <w:rPr>
          <w:rFonts w:eastAsia="Calibri" w:cs="Times New Roman"/>
        </w:rPr>
        <w:t>».</w:t>
      </w:r>
    </w:p>
    <w:p>
      <w:pPr>
        <w:ind w:left="357"/>
        <w:jc w:val="right"/>
        <w:rPr>
          <w:b/>
          <w:bCs/>
          <w:szCs w:val="24"/>
        </w:rPr>
      </w:pPr>
      <w:r>
        <w:rPr>
          <w:b/>
          <w:bCs/>
          <w:szCs w:val="24"/>
        </w:rPr>
        <w:t>Μονάδες 20</w:t>
      </w:r>
    </w:p>
    <w:p>
      <w:pPr>
        <w:rPr>
          <w:bCs/>
          <w:szCs w:val="24"/>
        </w:rPr>
      </w:pPr>
      <w:bookmarkStart w:id="5" w:name="_Hlk123130503"/>
      <w:r>
        <w:rPr>
          <w:b/>
          <w:bCs/>
          <w:szCs w:val="24"/>
        </w:rPr>
        <w:t xml:space="preserve">Γ2. </w:t>
      </w:r>
      <w:bookmarkEnd w:id="5"/>
      <w:r>
        <w:rPr>
          <w:szCs w:val="24"/>
        </w:rPr>
        <w:t>Για ποιους λόγους, κατά τον ρήτορα, είναι απαραίτητο η συμπεριφορά ενός ανθρώπου στο πλαίσιο της πόλης να χαρακτηρίζεται από σύνεση και λογική;</w:t>
      </w:r>
    </w:p>
    <w:p>
      <w:pPr>
        <w:ind w:left="357"/>
        <w:jc w:val="right"/>
        <w:rPr>
          <w:b/>
          <w:bCs/>
          <w:szCs w:val="24"/>
        </w:rPr>
      </w:pPr>
      <w:r>
        <w:rPr>
          <w:b/>
          <w:bCs/>
          <w:szCs w:val="24"/>
        </w:rPr>
        <w:t>Μονάδες 10</w:t>
      </w:r>
    </w:p>
    <w:p>
      <w:pPr>
        <w:rPr>
          <w:rFonts w:ascii="Calibri" w:hAnsi="Calibri" w:eastAsia="Calibri" w:cs="Times New Roman"/>
          <w:b/>
          <w:bCs/>
        </w:rPr>
      </w:pPr>
      <w:bookmarkStart w:id="6" w:name="_Hlk123132940"/>
      <w:r>
        <w:rPr>
          <w:rFonts w:ascii="Calibri" w:hAnsi="Calibri" w:eastAsia="Calibri" w:cs="Times New Roman"/>
          <w:b/>
          <w:bCs/>
        </w:rPr>
        <w:t xml:space="preserve">Γ3. </w:t>
      </w:r>
    </w:p>
    <w:bookmarkEnd w:id="6"/>
    <w:p>
      <w:pPr>
        <w:rPr>
          <w:i/>
          <w:iCs/>
        </w:rPr>
      </w:pPr>
      <w:bookmarkStart w:id="7" w:name="_Hlk123133013"/>
      <w:r>
        <w:rPr>
          <w:rFonts w:ascii="Calibri" w:hAnsi="Calibri" w:eastAsia="Calibri" w:cs="Times New Roman"/>
          <w:b/>
          <w:bCs/>
        </w:rPr>
        <w:t xml:space="preserve">α. </w:t>
      </w:r>
      <w:bookmarkEnd w:id="7"/>
      <w:r>
        <w:rPr>
          <w:rFonts w:ascii="Calibri" w:hAnsi="Calibri" w:eastAsia="Calibri" w:cs="Calibri"/>
          <w:szCs w:val="24"/>
        </w:rPr>
        <w:t>«</w:t>
      </w:r>
      <w:r>
        <w:rPr>
          <w:b/>
          <w:bCs/>
          <w:i/>
          <w:iCs/>
        </w:rPr>
        <w:t xml:space="preserve">Οὐχ </w:t>
      </w:r>
      <w:bookmarkStart w:id="8" w:name="_Hlk123133140"/>
      <w:r>
        <w:rPr>
          <w:b/>
          <w:bCs/>
          <w:i/>
          <w:iCs/>
        </w:rPr>
        <w:t>ὁρᾶθ’</w:t>
      </w:r>
      <w:bookmarkEnd w:id="8"/>
      <w:r>
        <w:rPr>
          <w:b/>
          <w:bCs/>
          <w:i/>
          <w:iCs/>
        </w:rPr>
        <w:t xml:space="preserve"> ὅτι τῆς φύσεως αὐτοῦ καὶ πολιτείας οὐ λογισμὸς οὐδ’ αἰδὼς οὐδεμία, ἀλλ’ ἀπόνοι’ </w:t>
      </w:r>
      <w:bookmarkStart w:id="9" w:name="_Hlk123133258"/>
      <w:r>
        <w:rPr>
          <w:b/>
          <w:bCs/>
          <w:i/>
          <w:iCs/>
        </w:rPr>
        <w:t>ἡγεῖται</w:t>
      </w:r>
      <w:bookmarkEnd w:id="9"/>
      <w:r>
        <w:rPr>
          <w:rFonts w:ascii="Calibri" w:hAnsi="Calibri" w:eastAsia="Calibri" w:cs="Calibri"/>
          <w:b/>
          <w:bCs/>
          <w:szCs w:val="24"/>
        </w:rPr>
        <w:t>»</w:t>
      </w:r>
      <w:r>
        <w:rPr>
          <w:rFonts w:ascii="Calibri" w:hAnsi="Calibri" w:eastAsia="Calibri" w:cs="Calibri"/>
          <w:szCs w:val="24"/>
        </w:rPr>
        <w:t xml:space="preserve">: Να μεταφέρετε τα ρήματα του αποσπάσματος στο β΄ ενικό προστακτικής ίδιου χρόνου και φωνής. </w:t>
      </w:r>
      <w:bookmarkStart w:id="10" w:name="_Hlk123133466"/>
      <w:r>
        <w:rPr>
          <w:rFonts w:ascii="Calibri" w:hAnsi="Calibri" w:eastAsia="Calibri" w:cs="Calibri"/>
          <w:szCs w:val="24"/>
        </w:rPr>
        <w:t>(μονάδες 4)</w:t>
      </w:r>
      <w:bookmarkEnd w:id="10"/>
    </w:p>
    <w:p>
      <w:pPr>
        <w:rPr>
          <w:rFonts w:ascii="Calibri" w:hAnsi="Calibri" w:eastAsia="Calibri" w:cs="Times New Roman"/>
          <w:b/>
          <w:bCs/>
        </w:rPr>
      </w:pPr>
      <w:bookmarkStart w:id="11" w:name="_Hlk123133601"/>
      <w:r>
        <w:rPr>
          <w:rFonts w:ascii="Calibri" w:hAnsi="Calibri" w:eastAsia="Calibri" w:cs="Times New Roman"/>
          <w:b/>
          <w:bCs/>
        </w:rPr>
        <w:t xml:space="preserve">β. </w:t>
      </w:r>
      <w:bookmarkEnd w:id="11"/>
      <w:r>
        <w:rPr>
          <w:rFonts w:ascii="Calibri" w:hAnsi="Calibri" w:eastAsia="Calibri" w:cs="Calibri"/>
          <w:b/>
          <w:bCs/>
          <w:szCs w:val="24"/>
        </w:rPr>
        <w:t>«</w:t>
      </w:r>
      <w:bookmarkStart w:id="12" w:name="_Hlk123133635"/>
      <w:r>
        <w:rPr>
          <w:b/>
          <w:bCs/>
          <w:i/>
          <w:iCs/>
        </w:rPr>
        <w:t>Τίς</w:t>
      </w:r>
      <w:bookmarkEnd w:id="12"/>
      <w:r>
        <w:rPr>
          <w:b/>
          <w:bCs/>
          <w:i/>
          <w:iCs/>
        </w:rPr>
        <w:t xml:space="preserve"> ἂν οὖν εὖ φρονῶν</w:t>
      </w:r>
      <w:bookmarkStart w:id="13" w:name="_Hlk123133733"/>
      <w:r>
        <w:rPr>
          <w:b/>
          <w:bCs/>
          <w:i/>
          <w:iCs/>
        </w:rPr>
        <w:t xml:space="preserve"> αὑτὸν</w:t>
      </w:r>
      <w:bookmarkEnd w:id="13"/>
      <w:r>
        <w:rPr>
          <w:b/>
          <w:bCs/>
          <w:i/>
          <w:iCs/>
        </w:rPr>
        <w:t xml:space="preserve"> ἂν ἢ τὰ τῇ πατρίδι συμφέροντα</w:t>
      </w:r>
      <w:bookmarkStart w:id="14" w:name="_Hlk123134242"/>
      <w:r>
        <w:rPr>
          <w:b/>
          <w:bCs/>
          <w:i/>
          <w:iCs/>
        </w:rPr>
        <w:t xml:space="preserve"> ταύτῃ </w:t>
      </w:r>
      <w:bookmarkEnd w:id="14"/>
      <w:r>
        <w:rPr>
          <w:b/>
          <w:bCs/>
          <w:i/>
          <w:iCs/>
        </w:rPr>
        <w:t>συνάψειεν</w:t>
      </w:r>
      <w:r>
        <w:t>;</w:t>
      </w:r>
      <w:r>
        <w:rPr>
          <w:rFonts w:ascii="Calibri" w:hAnsi="Calibri" w:eastAsia="Calibri" w:cs="Calibri"/>
          <w:szCs w:val="24"/>
        </w:rPr>
        <w:t>»: Να μεταφέρετε τις αντωνυμίες του αποσπάσματος στη δοτική πληθυντικού στο ίδιο γένος. (μονάδες 6)</w:t>
      </w:r>
    </w:p>
    <w:p>
      <w:pPr>
        <w:ind w:left="357"/>
        <w:jc w:val="right"/>
        <w:rPr>
          <w:b/>
          <w:bCs/>
          <w:szCs w:val="24"/>
        </w:rPr>
      </w:pPr>
      <w:r>
        <w:rPr>
          <w:b/>
          <w:bCs/>
          <w:szCs w:val="24"/>
        </w:rPr>
        <w:t>Μονάδες 10</w:t>
      </w:r>
    </w:p>
    <w:p>
      <w:pPr>
        <w:rPr>
          <w:b/>
          <w:bCs/>
          <w:szCs w:val="24"/>
        </w:rPr>
      </w:pPr>
      <w:bookmarkStart w:id="15" w:name="_Hlk123134423"/>
      <w:r>
        <w:rPr>
          <w:b/>
          <w:bCs/>
          <w:szCs w:val="24"/>
        </w:rPr>
        <w:t xml:space="preserve">Γ4. </w:t>
      </w:r>
    </w:p>
    <w:p>
      <w:pPr>
        <w:rPr>
          <w:rFonts w:eastAsia="Calibri" w:cs="Times New Roman"/>
          <w:b/>
          <w:bCs/>
          <w:i/>
          <w:iCs/>
          <w:szCs w:val="24"/>
        </w:rPr>
      </w:pPr>
      <w:r>
        <w:rPr>
          <w:rFonts w:eastAsia="Calibri" w:cs="Times New Roman"/>
          <w:b/>
          <w:bCs/>
        </w:rPr>
        <w:t xml:space="preserve">α. </w:t>
      </w:r>
      <w:bookmarkEnd w:id="15"/>
      <w:r>
        <w:rPr>
          <w:rFonts w:eastAsia="Calibri" w:cs="Times New Roman"/>
          <w:szCs w:val="24"/>
        </w:rPr>
        <w:t>Να προσδιορίσετε την κύρια συντακτική λειτουργία των υπογραμμισμένων λέξεων του κειμένου (μονάδες 6):</w:t>
      </w:r>
      <w:r>
        <w:rPr>
          <w:rFonts w:eastAsia="Calibri" w:cs="Times New Roman"/>
          <w:b/>
          <w:bCs/>
          <w:i/>
          <w:iCs/>
          <w:szCs w:val="24"/>
        </w:rPr>
        <w:t xml:space="preserve"> </w:t>
      </w:r>
    </w:p>
    <w:p>
      <w:pPr>
        <w:ind w:hanging="33"/>
        <w:rPr>
          <w:rFonts w:eastAsia="Calibri" w:cs="Times New Roman"/>
          <w:szCs w:val="24"/>
        </w:rPr>
      </w:pPr>
      <w:bookmarkStart w:id="16" w:name="_Hlk123134439"/>
      <w:r>
        <w:rPr>
          <w:b/>
          <w:bCs/>
          <w:i/>
          <w:iCs/>
        </w:rPr>
        <w:t xml:space="preserve"> τῶν ἀνηκέστων</w:t>
      </w:r>
      <w:r>
        <w:rPr>
          <w:rFonts w:eastAsia="Calibri" w:cs="Times New Roman"/>
          <w:szCs w:val="24"/>
        </w:rPr>
        <w:t>:</w:t>
      </w:r>
      <w:r>
        <w:rPr>
          <w:rFonts w:eastAsia="Calibri" w:cs="Times New Roman"/>
          <w:b/>
          <w:bCs/>
          <w:i/>
          <w:iCs/>
          <w:szCs w:val="24"/>
        </w:rPr>
        <w:t xml:space="preserve"> </w:t>
      </w:r>
      <w:r>
        <w:rPr>
          <w:rFonts w:eastAsia="Calibri" w:cs="Times New Roman"/>
          <w:b/>
          <w:bCs/>
          <w:i/>
          <w:iCs/>
          <w:szCs w:val="24"/>
        </w:rPr>
        <w:tab/>
      </w:r>
      <w:r>
        <w:rPr>
          <w:rFonts w:eastAsia="Calibri" w:cs="Times New Roman"/>
        </w:rPr>
        <w:t>είναι ……………………………………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>στο …………………………………… .</w:t>
      </w:r>
    </w:p>
    <w:bookmarkEnd w:id="16"/>
    <w:p>
      <w:pPr>
        <w:ind w:hanging="33"/>
        <w:rPr>
          <w:rFonts w:eastAsia="Calibri" w:cs="Times New Roman"/>
          <w:szCs w:val="24"/>
        </w:rPr>
      </w:pPr>
      <w:bookmarkStart w:id="17" w:name="_Hlk123134884"/>
      <w:r>
        <w:rPr>
          <w:b/>
          <w:bCs/>
          <w:i/>
          <w:iCs/>
        </w:rPr>
        <w:t>ἄκων</w:t>
      </w:r>
      <w:r>
        <w:rPr>
          <w:rFonts w:eastAsia="Calibri" w:cs="Times New Roman"/>
          <w:szCs w:val="24"/>
        </w:rPr>
        <w:t xml:space="preserve">:                             </w:t>
      </w:r>
      <w:r>
        <w:rPr>
          <w:rFonts w:eastAsia="Calibri" w:cs="Times New Roman"/>
        </w:rPr>
        <w:t>είναι ……………………………………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>στο …………………………………….</w:t>
      </w:r>
    </w:p>
    <w:bookmarkEnd w:id="17"/>
    <w:p>
      <w:pPr>
        <w:ind w:hanging="33"/>
        <w:rPr>
          <w:rFonts w:eastAsia="Calibri" w:cs="Times New Roman"/>
          <w:szCs w:val="24"/>
        </w:rPr>
      </w:pPr>
      <w:bookmarkStart w:id="18" w:name="_Hlk123136448"/>
      <w:r>
        <w:rPr>
          <w:b/>
          <w:bCs/>
          <w:i/>
          <w:iCs/>
        </w:rPr>
        <w:t>ζητεῖν</w:t>
      </w:r>
      <w:r>
        <w:rPr>
          <w:rFonts w:eastAsia="Calibri" w:cs="Times New Roman"/>
          <w:szCs w:val="24"/>
        </w:rPr>
        <w:t>:</w:t>
      </w:r>
      <w:r>
        <w:rPr>
          <w:rFonts w:eastAsia="Calibri" w:cs="Times New Roman"/>
          <w:b/>
          <w:bCs/>
          <w:i/>
          <w:iCs/>
          <w:szCs w:val="24"/>
        </w:rPr>
        <w:t xml:space="preserve">                            </w:t>
      </w:r>
      <w:r>
        <w:rPr>
          <w:rFonts w:eastAsia="Calibri" w:cs="Times New Roman"/>
        </w:rPr>
        <w:t>είναι ……………………………………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>στο …………………………………….</w:t>
      </w:r>
    </w:p>
    <w:bookmarkEnd w:id="18"/>
    <w:p>
      <w:bookmarkStart w:id="19" w:name="_Hlk123136691"/>
      <w:r>
        <w:rPr>
          <w:rFonts w:eastAsia="Calibri" w:cs="Times New Roman"/>
          <w:b/>
          <w:bCs/>
        </w:rPr>
        <w:t>β.</w:t>
      </w:r>
      <w:bookmarkEnd w:id="19"/>
      <w:r>
        <w:rPr>
          <w:rFonts w:eastAsia="Calibri" w:cs="Times New Roman"/>
          <w:b/>
          <w:bCs/>
        </w:rPr>
        <w:t xml:space="preserve"> </w:t>
      </w:r>
      <w:r>
        <w:rPr>
          <w:b/>
          <w:bCs/>
          <w:i/>
          <w:iCs/>
        </w:rPr>
        <w:t xml:space="preserve">Τίς δ’ ἂν ἄλλος μᾶλλον, ὃ μὴ γένοιτο, ἀνατρέψειεν τὴν πόλιν, εἰ λάβοιτ’ ἐξουσίας; </w:t>
      </w:r>
      <w:r>
        <w:t xml:space="preserve">Να  αναγνωρίσετε τον υποθετικό λόγο και να τον μετατρέψετε, ώστε να δηλώνει το αντίθετο του πραγματικού. </w:t>
      </w:r>
      <w:r>
        <w:rPr>
          <w:rFonts w:eastAsia="Calibri" w:cs="Times New Roman"/>
          <w:szCs w:val="24"/>
        </w:rPr>
        <w:t>(μονάδες 4)</w:t>
      </w:r>
    </w:p>
    <w:p>
      <w:pPr>
        <w:ind w:left="357"/>
        <w:jc w:val="right"/>
        <w:rPr>
          <w:b/>
          <w:bCs/>
          <w:szCs w:val="24"/>
        </w:rPr>
      </w:pPr>
      <w:r>
        <w:rPr>
          <w:b/>
          <w:bCs/>
          <w:szCs w:val="24"/>
        </w:rPr>
        <w:t>Μονάδες 10</w:t>
      </w:r>
    </w:p>
    <w:p>
      <w:pPr>
        <w:ind w:left="357"/>
        <w:rPr>
          <w:b/>
          <w:bCs/>
          <w:szCs w:val="24"/>
        </w:rPr>
      </w:pPr>
    </w:p>
    <w:p>
      <w:pPr>
        <w:rPr>
          <w:szCs w:val="24"/>
        </w:rPr>
      </w:pPr>
    </w:p>
    <w:sectPr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A1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A1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79"/>
    <w:rsid w:val="00070399"/>
    <w:rsid w:val="0007551A"/>
    <w:rsid w:val="00077622"/>
    <w:rsid w:val="000860C3"/>
    <w:rsid w:val="000E618A"/>
    <w:rsid w:val="000F353A"/>
    <w:rsid w:val="000F3AA8"/>
    <w:rsid w:val="00113E86"/>
    <w:rsid w:val="0016386A"/>
    <w:rsid w:val="001F7CA3"/>
    <w:rsid w:val="00233438"/>
    <w:rsid w:val="00245597"/>
    <w:rsid w:val="00245B9A"/>
    <w:rsid w:val="00253C01"/>
    <w:rsid w:val="002554DD"/>
    <w:rsid w:val="0029405A"/>
    <w:rsid w:val="002A7A6A"/>
    <w:rsid w:val="002D6703"/>
    <w:rsid w:val="002F1957"/>
    <w:rsid w:val="00304BC8"/>
    <w:rsid w:val="00334565"/>
    <w:rsid w:val="00335A44"/>
    <w:rsid w:val="00373A8D"/>
    <w:rsid w:val="003A06B3"/>
    <w:rsid w:val="003B3692"/>
    <w:rsid w:val="003C0AD8"/>
    <w:rsid w:val="003C6FE1"/>
    <w:rsid w:val="003D35C1"/>
    <w:rsid w:val="003E3BA2"/>
    <w:rsid w:val="00456168"/>
    <w:rsid w:val="00476CB5"/>
    <w:rsid w:val="00491EAD"/>
    <w:rsid w:val="0049472A"/>
    <w:rsid w:val="004E10B6"/>
    <w:rsid w:val="004F192A"/>
    <w:rsid w:val="005025B4"/>
    <w:rsid w:val="00505A14"/>
    <w:rsid w:val="00557A9D"/>
    <w:rsid w:val="005D0F53"/>
    <w:rsid w:val="005D5F0D"/>
    <w:rsid w:val="005E6EA0"/>
    <w:rsid w:val="00656012"/>
    <w:rsid w:val="00662479"/>
    <w:rsid w:val="006740C7"/>
    <w:rsid w:val="006848BF"/>
    <w:rsid w:val="006B0064"/>
    <w:rsid w:val="006C3CDF"/>
    <w:rsid w:val="0072741C"/>
    <w:rsid w:val="007341EA"/>
    <w:rsid w:val="007543E9"/>
    <w:rsid w:val="007868EC"/>
    <w:rsid w:val="007A381A"/>
    <w:rsid w:val="007B2019"/>
    <w:rsid w:val="007B62C9"/>
    <w:rsid w:val="007D5D52"/>
    <w:rsid w:val="007F6E79"/>
    <w:rsid w:val="008216A8"/>
    <w:rsid w:val="0083432D"/>
    <w:rsid w:val="008428A6"/>
    <w:rsid w:val="00871B03"/>
    <w:rsid w:val="0089110E"/>
    <w:rsid w:val="008C4FC9"/>
    <w:rsid w:val="00945B59"/>
    <w:rsid w:val="00972E0C"/>
    <w:rsid w:val="00976555"/>
    <w:rsid w:val="00991FA9"/>
    <w:rsid w:val="009C4F1C"/>
    <w:rsid w:val="009D5DD2"/>
    <w:rsid w:val="009D6A79"/>
    <w:rsid w:val="009F689C"/>
    <w:rsid w:val="00A35110"/>
    <w:rsid w:val="00A375DD"/>
    <w:rsid w:val="00A518AC"/>
    <w:rsid w:val="00A570B3"/>
    <w:rsid w:val="00A622E8"/>
    <w:rsid w:val="00A67531"/>
    <w:rsid w:val="00AB30C8"/>
    <w:rsid w:val="00AC1AD8"/>
    <w:rsid w:val="00AD3CD3"/>
    <w:rsid w:val="00AE0439"/>
    <w:rsid w:val="00AE7BE5"/>
    <w:rsid w:val="00AF450B"/>
    <w:rsid w:val="00B20CD3"/>
    <w:rsid w:val="00B32104"/>
    <w:rsid w:val="00B34B14"/>
    <w:rsid w:val="00B37707"/>
    <w:rsid w:val="00B4146C"/>
    <w:rsid w:val="00B53594"/>
    <w:rsid w:val="00B6149A"/>
    <w:rsid w:val="00B93616"/>
    <w:rsid w:val="00BA2795"/>
    <w:rsid w:val="00BF27A1"/>
    <w:rsid w:val="00C1580A"/>
    <w:rsid w:val="00C21C44"/>
    <w:rsid w:val="00C250F1"/>
    <w:rsid w:val="00C25251"/>
    <w:rsid w:val="00C47F68"/>
    <w:rsid w:val="00C55183"/>
    <w:rsid w:val="00C71FF3"/>
    <w:rsid w:val="00C820C0"/>
    <w:rsid w:val="00C82C0E"/>
    <w:rsid w:val="00CA23DB"/>
    <w:rsid w:val="00CA5C8D"/>
    <w:rsid w:val="00CD799C"/>
    <w:rsid w:val="00D02616"/>
    <w:rsid w:val="00D056D8"/>
    <w:rsid w:val="00D25AD8"/>
    <w:rsid w:val="00D5416A"/>
    <w:rsid w:val="00DD6969"/>
    <w:rsid w:val="00E16F21"/>
    <w:rsid w:val="00E300AA"/>
    <w:rsid w:val="00E50F18"/>
    <w:rsid w:val="00E93577"/>
    <w:rsid w:val="00EB2AC0"/>
    <w:rsid w:val="00EE70D2"/>
    <w:rsid w:val="00F546DB"/>
    <w:rsid w:val="00F6308A"/>
    <w:rsid w:val="00F74E52"/>
    <w:rsid w:val="00F822D5"/>
    <w:rsid w:val="00F90A17"/>
    <w:rsid w:val="022B1B21"/>
    <w:rsid w:val="12C34A08"/>
    <w:rsid w:val="1D8A1E33"/>
    <w:rsid w:val="21AB3AD0"/>
    <w:rsid w:val="2567173D"/>
    <w:rsid w:val="2B145F24"/>
    <w:rsid w:val="55F07033"/>
    <w:rsid w:val="597D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Theme="minorHAnsi" w:hAnsiTheme="minorHAnsi" w:eastAsiaTheme="minorEastAsia" w:cstheme="minorBidi"/>
      <w:sz w:val="24"/>
      <w:szCs w:val="22"/>
      <w:lang w:val="el-GR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3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styleId="7">
    <w:name w:val="annotation reference"/>
    <w:basedOn w:val="4"/>
    <w:semiHidden/>
    <w:unhideWhenUsed/>
    <w:uiPriority w:val="99"/>
    <w:rPr>
      <w:sz w:val="16"/>
      <w:szCs w:val="16"/>
    </w:rPr>
  </w:style>
  <w:style w:type="paragraph" w:styleId="8">
    <w:name w:val="annotation text"/>
    <w:basedOn w:val="1"/>
    <w:semiHidden/>
    <w:unhideWhenUsed/>
    <w:uiPriority w:val="99"/>
    <w:pPr>
      <w:jc w:val="left"/>
    </w:pPr>
  </w:style>
  <w:style w:type="character" w:styleId="9">
    <w:name w:val="Hyperlink"/>
    <w:basedOn w:val="4"/>
    <w:semiHidden/>
    <w:unhideWhenUsed/>
    <w:uiPriority w:val="99"/>
    <w:rPr>
      <w:color w:val="0000FF"/>
      <w:u w:val="single"/>
    </w:rPr>
  </w:style>
  <w:style w:type="character" w:customStyle="1" w:styleId="10">
    <w:name w:val="Επικεφαλίδα 1 Char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1">
    <w:name w:val="Επικεφαλίδα 2 Char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12">
    <w:name w:val="List Paragraph"/>
    <w:basedOn w:val="1"/>
    <w:qFormat/>
    <w:uiPriority w:val="34"/>
    <w:pPr>
      <w:spacing w:after="200" w:line="276" w:lineRule="auto"/>
      <w:ind w:left="720"/>
      <w:contextualSpacing/>
      <w:jc w:val="left"/>
    </w:pPr>
    <w:rPr>
      <w:rFonts w:ascii="Calibri" w:hAnsi="Calibri" w:eastAsia="Times New Roman" w:cs="Times New Roman"/>
      <w:sz w:val="22"/>
    </w:rPr>
  </w:style>
  <w:style w:type="character" w:customStyle="1" w:styleId="13">
    <w:name w:val="Κείμενο πλαισίου Char"/>
    <w:basedOn w:val="4"/>
    <w:link w:val="6"/>
    <w:semiHidden/>
    <w:qFormat/>
    <w:uiPriority w:val="99"/>
    <w:rPr>
      <w:rFonts w:ascii="Tahoma" w:hAnsi="Tahoma" w:cs="Tahoma" w:eastAsiaTheme="minorEastAsia"/>
      <w:sz w:val="16"/>
      <w:szCs w:val="1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e-shop.gr</Company>
  <Pages>2</Pages>
  <Words>407</Words>
  <Characters>2198</Characters>
  <Lines>18</Lines>
  <Paragraphs>5</Paragraphs>
  <TotalTime>0</TotalTime>
  <ScaleCrop>false</ScaleCrop>
  <LinksUpToDate>false</LinksUpToDate>
  <CharactersWithSpaces>2600</CharactersWithSpaces>
  <Application>WPS Office_11.2.0.11029_F1E327BC-269C-435d-A152-05C5408002CA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2023-01-02T16:49:00Z</dcterms:created>
  <dc:creator>ΙΩΑΝΝΗΣ ΠΑΝΑΓΙΩΤΗΣ ΑΜΠΕΛΑΣ</dc:creator>
  <cp:lastModifiedBy>user</cp:lastModifiedBy>
  <dcterms:modified xsi:type="dcterms:W3CDTF">2023-01-03T05:35:47Z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79C7704F6A2D46B7A78721A7BCE30310</vt:lpwstr>
  </property>
</Properties>
</file>