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rPr>
          <w:rFonts w:ascii="Calibri" w:cs="Calibri" w:hAnsi="Calibri" w:eastAsia="Calibri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ο </w:t>
      </w:r>
    </w:p>
    <w:p>
      <w:pPr>
        <w:pStyle w:val="Κύριο τμήμα A"/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4.1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Όλα ανεξαιρέτως τα στοιχεία του μίγματος μάρκετινγκ έχουν στοιχεία επικοινωνίας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: </w:t>
      </w:r>
      <w:r>
        <w:rPr>
          <w:rFonts w:ascii="Calibri" w:cs="Calibri" w:hAnsi="Calibri" w:eastAsia="Calibri"/>
          <w:sz w:val="24"/>
          <w:szCs w:val="24"/>
          <w:rtl w:val="0"/>
        </w:rPr>
        <w:t>Να αναλύσετε την παραπάνω πρόταση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και να δώσετε ένα παράδειγμα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10)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4.2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Να περιγράψετε τους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2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λόγους </w:t>
      </w:r>
      <w:r>
        <w:rPr>
          <w:rFonts w:ascii="Calibri" w:cs="Calibri" w:hAnsi="Calibri" w:eastAsia="Calibri"/>
          <w:sz w:val="24"/>
          <w:szCs w:val="24"/>
          <w:rtl w:val="0"/>
        </w:rPr>
        <w:t>(</w:t>
      </w:r>
      <w:r>
        <w:rPr>
          <w:rFonts w:ascii="Calibri" w:cs="Calibri" w:hAnsi="Calibri" w:eastAsia="Calibri"/>
          <w:sz w:val="24"/>
          <w:szCs w:val="24"/>
          <w:rtl w:val="0"/>
        </w:rPr>
        <w:t>που ακολουθούν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που οποιαδήποτε ενέργεια προώθησης πρέπει να εντάσσεται στην Ολοκληρωμένη Επικοινωνία Μάρκετινγκ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Μειωμένες δαπάνες για βάσεις δεδομένων </w:t>
      </w:r>
      <w:r>
        <w:rPr>
          <w:rFonts w:ascii="Calibri" w:cs="Calibri" w:hAnsi="Calibri" w:eastAsia="Calibri"/>
          <w:sz w:val="24"/>
          <w:szCs w:val="24"/>
          <w:rtl w:val="0"/>
        </w:rPr>
        <w:t>&amp;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Αποτελεσματικότητα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&amp;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αποδοτικότητα στη χρήση ΜΜΕ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</w:p>
    <w:p>
      <w:pPr>
        <w:pStyle w:val="Κύριο τμήμα A"/>
        <w:spacing w:line="360" w:lineRule="auto"/>
        <w:jc w:val="right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15)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