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9503DD" w:rsidRDefault="00F3425E">
      <w:pPr>
        <w:spacing w:line="360" w:lineRule="auto"/>
        <w:rPr>
          <w:b/>
          <w:sz w:val="24"/>
          <w:szCs w:val="24"/>
        </w:rPr>
      </w:pPr>
      <w:r>
        <w:rPr>
          <w:b/>
          <w:sz w:val="24"/>
          <w:szCs w:val="24"/>
        </w:rPr>
        <w:t>4.1</w:t>
      </w:r>
    </w:p>
    <w:p w14:paraId="00000002" w14:textId="226E0056" w:rsidR="009503DD" w:rsidRDefault="00F3425E">
      <w:pPr>
        <w:spacing w:line="360" w:lineRule="auto"/>
        <w:rPr>
          <w:sz w:val="24"/>
          <w:szCs w:val="24"/>
        </w:rPr>
      </w:pPr>
      <w:bookmarkStart w:id="0" w:name="_heading=h.gjdgxs" w:colFirst="0" w:colLast="0"/>
      <w:bookmarkEnd w:id="0"/>
      <w:r>
        <w:rPr>
          <w:sz w:val="24"/>
          <w:szCs w:val="24"/>
        </w:rPr>
        <w:t>α. Η συγκεκριμένη αχρωματοψία εμφανίζει φυλοσύνδετο υπολειπόμενο τύπο κληρονομικότητας. Έστω ότι το υπολειπόμενο αλληλόμορφο γονίδιο που ελέγχει την αχρωματοψία είναι Χ</w:t>
      </w:r>
      <w:r>
        <w:rPr>
          <w:sz w:val="24"/>
          <w:szCs w:val="24"/>
          <w:vertAlign w:val="superscript"/>
        </w:rPr>
        <w:t>α</w:t>
      </w:r>
      <w:r>
        <w:rPr>
          <w:sz w:val="24"/>
          <w:szCs w:val="24"/>
        </w:rPr>
        <w:t>. Οι γονότυποι των ατόμων Ι3 και Ι4 είναι Χ</w:t>
      </w:r>
      <w:r>
        <w:rPr>
          <w:sz w:val="24"/>
          <w:szCs w:val="24"/>
          <w:vertAlign w:val="superscript"/>
        </w:rPr>
        <w:t>Α</w:t>
      </w:r>
      <w:r w:rsidR="003D7946">
        <w:rPr>
          <w:sz w:val="24"/>
          <w:szCs w:val="24"/>
        </w:rPr>
        <w:t>Χ</w:t>
      </w:r>
      <w:r w:rsidR="003D7946">
        <w:rPr>
          <w:sz w:val="24"/>
          <w:szCs w:val="24"/>
          <w:vertAlign w:val="superscript"/>
        </w:rPr>
        <w:t>Α</w:t>
      </w:r>
      <w:r w:rsidR="003D7946">
        <w:rPr>
          <w:sz w:val="24"/>
          <w:szCs w:val="24"/>
        </w:rPr>
        <w:t xml:space="preserve"> </w:t>
      </w:r>
      <w:r>
        <w:rPr>
          <w:sz w:val="24"/>
          <w:szCs w:val="24"/>
        </w:rPr>
        <w:t>και Χ</w:t>
      </w:r>
      <w:r>
        <w:rPr>
          <w:sz w:val="24"/>
          <w:szCs w:val="24"/>
          <w:vertAlign w:val="superscript"/>
        </w:rPr>
        <w:t>Α</w:t>
      </w:r>
      <w:r w:rsidR="003D7946">
        <w:rPr>
          <w:sz w:val="24"/>
          <w:szCs w:val="24"/>
        </w:rPr>
        <w:t>Υ</w:t>
      </w:r>
      <w:bookmarkStart w:id="1" w:name="_GoBack"/>
      <w:bookmarkEnd w:id="1"/>
      <w:r>
        <w:rPr>
          <w:sz w:val="24"/>
          <w:szCs w:val="24"/>
        </w:rPr>
        <w:t xml:space="preserve"> αντίστοιχα. Αυτό αιτιολογείται από το γεγονός ότι προκύπτουν αρσενικοί απόγονοι γονοτύπου </w:t>
      </w:r>
      <w:proofErr w:type="spellStart"/>
      <w:r>
        <w:rPr>
          <w:sz w:val="24"/>
          <w:szCs w:val="24"/>
        </w:rPr>
        <w:t>Χ</w:t>
      </w:r>
      <w:r>
        <w:rPr>
          <w:sz w:val="24"/>
          <w:szCs w:val="24"/>
          <w:vertAlign w:val="superscript"/>
        </w:rPr>
        <w:t>α</w:t>
      </w:r>
      <w:r>
        <w:rPr>
          <w:sz w:val="24"/>
          <w:szCs w:val="24"/>
        </w:rPr>
        <w:t>Υ</w:t>
      </w:r>
      <w:proofErr w:type="spellEnd"/>
      <w:r>
        <w:rPr>
          <w:sz w:val="24"/>
          <w:szCs w:val="24"/>
        </w:rPr>
        <w:t>, στους οποίους το υπολειπόμενο αλληλόμορφο γονίδιο τους Χ</w:t>
      </w:r>
      <w:r>
        <w:rPr>
          <w:sz w:val="24"/>
          <w:szCs w:val="24"/>
          <w:vertAlign w:val="superscript"/>
        </w:rPr>
        <w:t>α</w:t>
      </w:r>
      <w:r>
        <w:rPr>
          <w:sz w:val="24"/>
          <w:szCs w:val="24"/>
        </w:rPr>
        <w:t xml:space="preserve"> είναι μητρικής προέλευσης. Εφόσον, δηλαδή, η μητέρα έχει κανονική όραση και δεν εκδηλώνει την αχρωματοψία θα είναι φορέας του Χ</w:t>
      </w:r>
      <w:r>
        <w:rPr>
          <w:sz w:val="24"/>
          <w:szCs w:val="24"/>
          <w:vertAlign w:val="superscript"/>
        </w:rPr>
        <w:t>α</w:t>
      </w:r>
      <w:r>
        <w:rPr>
          <w:sz w:val="24"/>
          <w:szCs w:val="24"/>
        </w:rPr>
        <w:t>. Μία ασθένεια που ακολουθεί τον ίδιο τύπο κληρονομικότητας με την μερική αχρωματοψία στο πράσινο και κόκκινο χρώμα είναι η αιμορροφιλία Α (εναλλακτικά: η αιμορροφιλία Β).</w:t>
      </w:r>
    </w:p>
    <w:p w14:paraId="00000003" w14:textId="207239DD" w:rsidR="009503DD" w:rsidRDefault="00F3425E">
      <w:pPr>
        <w:spacing w:line="360" w:lineRule="auto"/>
        <w:rPr>
          <w:sz w:val="24"/>
          <w:szCs w:val="24"/>
        </w:rPr>
      </w:pPr>
      <w:r>
        <w:rPr>
          <w:sz w:val="24"/>
          <w:szCs w:val="24"/>
        </w:rPr>
        <w:t xml:space="preserve">β. Το άτομο ΙΙΙ2 που είναι στείρο, εμφανίζει πιθανότατα το σύνδρομο </w:t>
      </w:r>
      <w:proofErr w:type="spellStart"/>
      <w:r>
        <w:rPr>
          <w:sz w:val="24"/>
          <w:szCs w:val="24"/>
        </w:rPr>
        <w:t>Turner</w:t>
      </w:r>
      <w:proofErr w:type="spellEnd"/>
      <w:r>
        <w:rPr>
          <w:sz w:val="24"/>
          <w:szCs w:val="24"/>
        </w:rPr>
        <w:t xml:space="preserve">, δηλαδή φέρει ένα φυλετικό χρωμόσωμα Χ. Η μητέρα του ατόμου είναι </w:t>
      </w:r>
      <w:proofErr w:type="spellStart"/>
      <w:r>
        <w:rPr>
          <w:sz w:val="24"/>
          <w:szCs w:val="24"/>
        </w:rPr>
        <w:t>ετερόζυγη</w:t>
      </w:r>
      <w:proofErr w:type="spellEnd"/>
      <w:r>
        <w:rPr>
          <w:sz w:val="24"/>
          <w:szCs w:val="24"/>
        </w:rPr>
        <w:t xml:space="preserve"> με γονότυπο </w:t>
      </w:r>
      <w:proofErr w:type="spellStart"/>
      <w:r>
        <w:rPr>
          <w:sz w:val="24"/>
          <w:szCs w:val="24"/>
        </w:rPr>
        <w:t>Χ</w:t>
      </w:r>
      <w:r>
        <w:rPr>
          <w:sz w:val="24"/>
          <w:szCs w:val="24"/>
          <w:vertAlign w:val="superscript"/>
        </w:rPr>
        <w:t>Α</w:t>
      </w:r>
      <w:r>
        <w:rPr>
          <w:sz w:val="24"/>
          <w:szCs w:val="24"/>
        </w:rPr>
        <w:t>Χ</w:t>
      </w:r>
      <w:r>
        <w:rPr>
          <w:sz w:val="24"/>
          <w:szCs w:val="24"/>
          <w:vertAlign w:val="superscript"/>
        </w:rPr>
        <w:t>α</w:t>
      </w:r>
      <w:proofErr w:type="spellEnd"/>
      <w:r>
        <w:rPr>
          <w:sz w:val="24"/>
          <w:szCs w:val="24"/>
        </w:rPr>
        <w:t xml:space="preserve"> και ο πατέρας εμφανίζει γονότυπο Χ</w:t>
      </w:r>
      <w:r>
        <w:rPr>
          <w:sz w:val="24"/>
          <w:szCs w:val="24"/>
          <w:vertAlign w:val="superscript"/>
        </w:rPr>
        <w:t>Α</w:t>
      </w:r>
      <w:r>
        <w:rPr>
          <w:sz w:val="24"/>
          <w:szCs w:val="24"/>
        </w:rPr>
        <w:t xml:space="preserve">Υ. Εφόσον το άτομο ΙΙΙ2 εμφανίζει μερική αχρωματοψία, έχει γονότυπο </w:t>
      </w:r>
      <w:proofErr w:type="spellStart"/>
      <w:r>
        <w:rPr>
          <w:sz w:val="24"/>
          <w:szCs w:val="24"/>
        </w:rPr>
        <w:t>Χ</w:t>
      </w:r>
      <w:r>
        <w:rPr>
          <w:sz w:val="24"/>
          <w:szCs w:val="24"/>
          <w:vertAlign w:val="superscript"/>
        </w:rPr>
        <w:t>α</w:t>
      </w:r>
      <w:r>
        <w:rPr>
          <w:sz w:val="24"/>
          <w:szCs w:val="24"/>
        </w:rPr>
        <w:t>Ο</w:t>
      </w:r>
      <w:proofErr w:type="spellEnd"/>
      <w:r>
        <w:rPr>
          <w:sz w:val="24"/>
          <w:szCs w:val="24"/>
        </w:rPr>
        <w:t>. Άρα κληρονόμησε το Χ</w:t>
      </w:r>
      <w:r>
        <w:rPr>
          <w:sz w:val="24"/>
          <w:szCs w:val="24"/>
          <w:vertAlign w:val="superscript"/>
        </w:rPr>
        <w:t>α</w:t>
      </w:r>
      <w:r>
        <w:rPr>
          <w:sz w:val="24"/>
          <w:szCs w:val="24"/>
        </w:rPr>
        <w:t xml:space="preserve"> χρωμόσωμα από τη μητέρα του και κανένα φυλετικό χρωμόσωμα από τον πατέρα του. Συγκεκριμένα, στον πατέρα, κατά την 1</w:t>
      </w:r>
      <w:r>
        <w:rPr>
          <w:sz w:val="24"/>
          <w:szCs w:val="24"/>
          <w:vertAlign w:val="superscript"/>
        </w:rPr>
        <w:t>η</w:t>
      </w:r>
      <w:r>
        <w:rPr>
          <w:sz w:val="24"/>
          <w:szCs w:val="24"/>
        </w:rPr>
        <w:t xml:space="preserve"> ή 2</w:t>
      </w:r>
      <w:r>
        <w:rPr>
          <w:sz w:val="24"/>
          <w:szCs w:val="24"/>
          <w:vertAlign w:val="superscript"/>
        </w:rPr>
        <w:t>η</w:t>
      </w:r>
      <w:r>
        <w:rPr>
          <w:sz w:val="24"/>
          <w:szCs w:val="24"/>
        </w:rPr>
        <w:t xml:space="preserve"> μειωτική διαίρεση δεν πραγματοποιήθηκε ο διαχωρισμός των ομόλογων φυλετικών χρωμοσωμάτων ή αδελφών χρωματίδων του διπλασιασμένου Χ ή Υ χρωμοσώματος, αντίστοιχα, με αποτέλεσμα να προκύψει ένας γαμέτης (σπερματοζωάριο) χωρίς φυλετικό χρωμόσωμα. Αυτός ο γαμέτης γονιμοποίησε το γαμέτη (ωάριο) με το φυλετικό χρωμόσωμα Χ</w:t>
      </w:r>
      <w:r>
        <w:rPr>
          <w:sz w:val="24"/>
          <w:szCs w:val="24"/>
          <w:vertAlign w:val="superscript"/>
        </w:rPr>
        <w:t>α</w:t>
      </w:r>
      <w:r>
        <w:rPr>
          <w:sz w:val="24"/>
          <w:szCs w:val="24"/>
        </w:rPr>
        <w:t xml:space="preserve"> οπότε προέκυψε το θηλυκό άτομο, με σύνδρομο </w:t>
      </w:r>
      <w:proofErr w:type="spellStart"/>
      <w:r>
        <w:rPr>
          <w:sz w:val="24"/>
          <w:szCs w:val="24"/>
        </w:rPr>
        <w:t>Turner</w:t>
      </w:r>
      <w:proofErr w:type="spellEnd"/>
      <w:r>
        <w:rPr>
          <w:sz w:val="24"/>
          <w:szCs w:val="24"/>
        </w:rPr>
        <w:t xml:space="preserve">, γονοτύπου </w:t>
      </w:r>
      <w:proofErr w:type="spellStart"/>
      <w:r>
        <w:rPr>
          <w:sz w:val="24"/>
          <w:szCs w:val="24"/>
        </w:rPr>
        <w:t>Χ</w:t>
      </w:r>
      <w:r>
        <w:rPr>
          <w:sz w:val="24"/>
          <w:szCs w:val="24"/>
          <w:vertAlign w:val="superscript"/>
        </w:rPr>
        <w:t>α</w:t>
      </w:r>
      <w:r>
        <w:rPr>
          <w:sz w:val="24"/>
          <w:szCs w:val="24"/>
        </w:rPr>
        <w:t>Ο</w:t>
      </w:r>
      <w:proofErr w:type="spellEnd"/>
      <w:r>
        <w:rPr>
          <w:sz w:val="24"/>
          <w:szCs w:val="24"/>
        </w:rPr>
        <w:t xml:space="preserve">. </w:t>
      </w:r>
    </w:p>
    <w:p w14:paraId="00000004" w14:textId="77777777" w:rsidR="009503DD" w:rsidRDefault="00F3425E">
      <w:pPr>
        <w:spacing w:line="360" w:lineRule="auto"/>
        <w:rPr>
          <w:sz w:val="24"/>
          <w:szCs w:val="24"/>
        </w:rPr>
      </w:pPr>
      <w:r>
        <w:rPr>
          <w:sz w:val="24"/>
          <w:szCs w:val="24"/>
        </w:rPr>
        <w:t xml:space="preserve">γ. Σε ένα άτομο με αυτό το γονότυπο, όλα του τα σωματικά κύτταρα έχουν σύσταση </w:t>
      </w:r>
      <w:proofErr w:type="spellStart"/>
      <w:r>
        <w:rPr>
          <w:sz w:val="24"/>
          <w:szCs w:val="24"/>
        </w:rPr>
        <w:t>Χ</w:t>
      </w:r>
      <w:r>
        <w:rPr>
          <w:sz w:val="24"/>
          <w:szCs w:val="24"/>
          <w:vertAlign w:val="superscript"/>
        </w:rPr>
        <w:t>α</w:t>
      </w:r>
      <w:r>
        <w:rPr>
          <w:sz w:val="24"/>
          <w:szCs w:val="24"/>
        </w:rPr>
        <w:t>Ο</w:t>
      </w:r>
      <w:proofErr w:type="spellEnd"/>
      <w:r>
        <w:rPr>
          <w:sz w:val="24"/>
          <w:szCs w:val="24"/>
        </w:rPr>
        <w:t>. Επειδή τα μεταφασικά χρωμοσώματα είναι διπλασιασμένα, υπάρχουν 2 αντίγραφα του γονιδίου Χ</w:t>
      </w:r>
      <w:r>
        <w:rPr>
          <w:sz w:val="24"/>
          <w:szCs w:val="24"/>
          <w:vertAlign w:val="superscript"/>
        </w:rPr>
        <w:t>α</w:t>
      </w:r>
      <w:r>
        <w:rPr>
          <w:sz w:val="24"/>
          <w:szCs w:val="24"/>
        </w:rPr>
        <w:t xml:space="preserve">, ένα για κάθε αδελφή χρωματίδα. </w:t>
      </w:r>
    </w:p>
    <w:p w14:paraId="00000005" w14:textId="77777777" w:rsidR="009503DD" w:rsidRDefault="009503DD">
      <w:pPr>
        <w:spacing w:line="360" w:lineRule="auto"/>
        <w:rPr>
          <w:b/>
          <w:sz w:val="24"/>
          <w:szCs w:val="24"/>
        </w:rPr>
      </w:pPr>
    </w:p>
    <w:p w14:paraId="00000006" w14:textId="77777777" w:rsidR="009503DD" w:rsidRDefault="00F3425E">
      <w:pPr>
        <w:spacing w:line="360" w:lineRule="auto"/>
        <w:rPr>
          <w:b/>
          <w:sz w:val="24"/>
          <w:szCs w:val="24"/>
        </w:rPr>
      </w:pPr>
      <w:r>
        <w:rPr>
          <w:b/>
          <w:sz w:val="24"/>
          <w:szCs w:val="24"/>
        </w:rPr>
        <w:t>4.2</w:t>
      </w:r>
    </w:p>
    <w:p w14:paraId="00000007" w14:textId="77777777" w:rsidR="009503DD" w:rsidRDefault="00F3425E">
      <w:pPr>
        <w:spacing w:line="360" w:lineRule="auto"/>
        <w:rPr>
          <w:sz w:val="24"/>
          <w:szCs w:val="24"/>
        </w:rPr>
      </w:pPr>
      <w:bookmarkStart w:id="2" w:name="_heading=h.30j0zll" w:colFirst="0" w:colLast="0"/>
      <w:bookmarkEnd w:id="2"/>
      <w:r>
        <w:rPr>
          <w:sz w:val="24"/>
          <w:szCs w:val="24"/>
        </w:rPr>
        <w:t xml:space="preserve">α. Η βιολογική διαδικασία αναφέρεται στην μετάφραση (του mRNA) ή πρωτεϊνοσύνθεση. </w:t>
      </w:r>
    </w:p>
    <w:p w14:paraId="00000008" w14:textId="77777777" w:rsidR="009503DD" w:rsidRDefault="00F3425E">
      <w:pPr>
        <w:numPr>
          <w:ilvl w:val="0"/>
          <w:numId w:val="1"/>
        </w:numPr>
        <w:pBdr>
          <w:top w:val="nil"/>
          <w:left w:val="nil"/>
          <w:bottom w:val="nil"/>
          <w:right w:val="nil"/>
          <w:between w:val="nil"/>
        </w:pBdr>
        <w:spacing w:line="360" w:lineRule="auto"/>
        <w:rPr>
          <w:color w:val="000000"/>
          <w:sz w:val="24"/>
          <w:szCs w:val="24"/>
        </w:rPr>
      </w:pPr>
      <w:r>
        <w:rPr>
          <w:color w:val="000000"/>
          <w:sz w:val="24"/>
          <w:szCs w:val="24"/>
        </w:rPr>
        <w:t>mRNA</w:t>
      </w:r>
    </w:p>
    <w:p w14:paraId="00000009" w14:textId="77777777" w:rsidR="009503DD" w:rsidRDefault="00F3425E">
      <w:pPr>
        <w:numPr>
          <w:ilvl w:val="0"/>
          <w:numId w:val="1"/>
        </w:numPr>
        <w:pBdr>
          <w:top w:val="nil"/>
          <w:left w:val="nil"/>
          <w:bottom w:val="nil"/>
          <w:right w:val="nil"/>
          <w:between w:val="nil"/>
        </w:pBdr>
        <w:spacing w:line="360" w:lineRule="auto"/>
        <w:rPr>
          <w:color w:val="000000"/>
          <w:sz w:val="24"/>
          <w:szCs w:val="24"/>
        </w:rPr>
      </w:pPr>
      <w:r>
        <w:rPr>
          <w:color w:val="000000"/>
          <w:sz w:val="24"/>
          <w:szCs w:val="24"/>
        </w:rPr>
        <w:t>ριβόσωμα</w:t>
      </w:r>
    </w:p>
    <w:p w14:paraId="0000000A" w14:textId="77777777" w:rsidR="009503DD" w:rsidRDefault="00F3425E">
      <w:pPr>
        <w:numPr>
          <w:ilvl w:val="0"/>
          <w:numId w:val="1"/>
        </w:numPr>
        <w:pBdr>
          <w:top w:val="nil"/>
          <w:left w:val="nil"/>
          <w:bottom w:val="nil"/>
          <w:right w:val="nil"/>
          <w:between w:val="nil"/>
        </w:pBdr>
        <w:spacing w:line="360" w:lineRule="auto"/>
        <w:rPr>
          <w:color w:val="000000"/>
          <w:sz w:val="24"/>
          <w:szCs w:val="24"/>
        </w:rPr>
      </w:pPr>
      <w:r>
        <w:rPr>
          <w:color w:val="000000"/>
          <w:sz w:val="24"/>
          <w:szCs w:val="24"/>
        </w:rPr>
        <w:t>αμινοξύ</w:t>
      </w:r>
    </w:p>
    <w:p w14:paraId="0000000B" w14:textId="77777777" w:rsidR="009503DD" w:rsidRDefault="00F3425E">
      <w:pPr>
        <w:numPr>
          <w:ilvl w:val="0"/>
          <w:numId w:val="1"/>
        </w:numPr>
        <w:pBdr>
          <w:top w:val="nil"/>
          <w:left w:val="nil"/>
          <w:bottom w:val="nil"/>
          <w:right w:val="nil"/>
          <w:between w:val="nil"/>
        </w:pBdr>
        <w:spacing w:line="360" w:lineRule="auto"/>
        <w:rPr>
          <w:color w:val="000000"/>
          <w:sz w:val="24"/>
          <w:szCs w:val="24"/>
        </w:rPr>
      </w:pPr>
      <w:r>
        <w:rPr>
          <w:color w:val="000000"/>
          <w:sz w:val="24"/>
          <w:szCs w:val="24"/>
        </w:rPr>
        <w:t xml:space="preserve">(αναπτυσσόμενη) πεπτιδική αλυσίδα ή </w:t>
      </w:r>
      <w:r>
        <w:rPr>
          <w:sz w:val="24"/>
          <w:szCs w:val="24"/>
        </w:rPr>
        <w:t>πρωτεΐνη</w:t>
      </w:r>
    </w:p>
    <w:p w14:paraId="0000000C" w14:textId="77777777" w:rsidR="009503DD" w:rsidRDefault="00F3425E">
      <w:pPr>
        <w:numPr>
          <w:ilvl w:val="0"/>
          <w:numId w:val="1"/>
        </w:numPr>
        <w:pBdr>
          <w:top w:val="nil"/>
          <w:left w:val="nil"/>
          <w:bottom w:val="nil"/>
          <w:right w:val="nil"/>
          <w:between w:val="nil"/>
        </w:pBdr>
        <w:spacing w:line="360" w:lineRule="auto"/>
        <w:rPr>
          <w:color w:val="000000"/>
          <w:sz w:val="24"/>
          <w:szCs w:val="24"/>
        </w:rPr>
      </w:pPr>
      <w:r>
        <w:rPr>
          <w:color w:val="000000"/>
          <w:sz w:val="24"/>
          <w:szCs w:val="24"/>
        </w:rPr>
        <w:t>tRNA</w:t>
      </w:r>
    </w:p>
    <w:p w14:paraId="0000000D" w14:textId="1DC3AB10" w:rsidR="009503DD" w:rsidRDefault="00F3425E">
      <w:pPr>
        <w:spacing w:line="360" w:lineRule="auto"/>
        <w:rPr>
          <w:sz w:val="24"/>
          <w:szCs w:val="24"/>
        </w:rPr>
      </w:pPr>
      <w:r>
        <w:rPr>
          <w:sz w:val="24"/>
          <w:szCs w:val="24"/>
        </w:rPr>
        <w:lastRenderedPageBreak/>
        <w:t xml:space="preserve">β. Το μόριο 2 αποτελεί ένα ριβόσωμα. Τα βήματα της γονιδιακής έκφρασης που απαιτούνται για την δημιουργία του μορίου 2 είναι τα εξής: Ένα γονίδιο που κωδικοποιεί για ένα είδος </w:t>
      </w:r>
      <w:proofErr w:type="spellStart"/>
      <w:r>
        <w:rPr>
          <w:sz w:val="24"/>
          <w:szCs w:val="24"/>
        </w:rPr>
        <w:t>rRNA</w:t>
      </w:r>
      <w:proofErr w:type="spellEnd"/>
      <w:r>
        <w:rPr>
          <w:sz w:val="24"/>
          <w:szCs w:val="24"/>
        </w:rPr>
        <w:t xml:space="preserve"> της μικρής ή της μεγάλης υπομονάδας θα μεταγραφεί (στην περιοχή του πυρηνίσκου του πυρήνα). Γονίδια που κωδικοποιούν για τις πρωτεΐνες της ίδιας υπομονάδας θα μεταγραφούν σε mRNA, τα οποία, αφού ωριμάσουν από μικρά ριβονουκλεοπρωτεϊνικά σωματίδια του πυρήνα θα οδηγηθούν στα ριβοσώματα (του κυτταροπλάσματος και κατόπιν του αδρού ενδοπλασματικού δικτύου) όπου θα μεταφραστούν. Θα ακολουθήσει κατασκευή της </w:t>
      </w:r>
      <w:proofErr w:type="spellStart"/>
      <w:r>
        <w:rPr>
          <w:sz w:val="24"/>
          <w:szCs w:val="24"/>
        </w:rPr>
        <w:t>υπομονάδας</w:t>
      </w:r>
      <w:proofErr w:type="spellEnd"/>
      <w:r>
        <w:rPr>
          <w:sz w:val="24"/>
          <w:szCs w:val="24"/>
        </w:rPr>
        <w:t xml:space="preserve">, δηλαδή σύνδεση </w:t>
      </w:r>
      <w:proofErr w:type="spellStart"/>
      <w:r>
        <w:rPr>
          <w:sz w:val="24"/>
          <w:szCs w:val="24"/>
        </w:rPr>
        <w:t>rRNA</w:t>
      </w:r>
      <w:proofErr w:type="spellEnd"/>
      <w:r>
        <w:rPr>
          <w:sz w:val="24"/>
          <w:szCs w:val="24"/>
        </w:rPr>
        <w:t xml:space="preserve"> και πρωτεϊνών (εντός του πυρήνα). Τα αντίστοιχα θα πραγματοποιηθούν και για την </w:t>
      </w:r>
      <w:r w:rsidR="00AE3649">
        <w:rPr>
          <w:sz w:val="24"/>
          <w:szCs w:val="24"/>
        </w:rPr>
        <w:t>άλλη</w:t>
      </w:r>
      <w:r>
        <w:rPr>
          <w:sz w:val="24"/>
          <w:szCs w:val="24"/>
        </w:rPr>
        <w:t xml:space="preserve"> υπομονάδα του ριβοσώματος. Οι δύο </w:t>
      </w:r>
      <w:proofErr w:type="spellStart"/>
      <w:r>
        <w:rPr>
          <w:sz w:val="24"/>
          <w:szCs w:val="24"/>
        </w:rPr>
        <w:t>υπομονάδες</w:t>
      </w:r>
      <w:proofErr w:type="spellEnd"/>
      <w:r>
        <w:rPr>
          <w:sz w:val="24"/>
          <w:szCs w:val="24"/>
        </w:rPr>
        <w:t xml:space="preserve"> θα </w:t>
      </w:r>
      <w:proofErr w:type="spellStart"/>
      <w:r>
        <w:rPr>
          <w:sz w:val="24"/>
          <w:szCs w:val="24"/>
        </w:rPr>
        <w:t>συναρμολογηθούν</w:t>
      </w:r>
      <w:proofErr w:type="spellEnd"/>
      <w:r>
        <w:rPr>
          <w:sz w:val="24"/>
          <w:szCs w:val="24"/>
        </w:rPr>
        <w:t xml:space="preserve"> σε ολόκληρο ριβόσωμα μόνο κατά τη μετάφραση, στο κυτταρόπλασμα. Το επόμενο κωδικόνιο που θα μεταφραστεί είναι το 5΄CUA3΄, άρα το αντικωδικόνιο του tRNA που θα τοποθετηθεί θα είναι το 3΄GAU5΄.</w:t>
      </w:r>
    </w:p>
    <w:sectPr w:rsidR="009503DD">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font>
  <w:font w:name="TrebuchetMS">
    <w:panose1 w:val="00000000000000000000"/>
    <w:charset w:val="00"/>
    <w:family w:val="roman"/>
    <w:notTrueType/>
    <w:pitch w:val="default"/>
  </w:font>
  <w:font w:name="TrebuchetMS-Bold">
    <w:panose1 w:val="00000000000000000000"/>
    <w:charset w:val="00"/>
    <w:family w:val="roman"/>
    <w:notTrueType/>
    <w:pitch w:val="default"/>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B0745A"/>
    <w:multiLevelType w:val="multilevel"/>
    <w:tmpl w:val="02AE27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3DD"/>
    <w:rsid w:val="003D7946"/>
    <w:rsid w:val="009503DD"/>
    <w:rsid w:val="00960E49"/>
    <w:rsid w:val="00AE3649"/>
    <w:rsid w:val="00D55C26"/>
    <w:rsid w:val="00DA40AC"/>
    <w:rsid w:val="00F3425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F31BB"/>
  <w15:docId w15:val="{9E72DD3A-0BDC-4EB9-B149-F6A7D36EC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36A"/>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character" w:customStyle="1" w:styleId="fontstyle01">
    <w:name w:val="fontstyle01"/>
    <w:basedOn w:val="a0"/>
    <w:rsid w:val="00EF4342"/>
    <w:rPr>
      <w:rFonts w:ascii="TrebuchetMS" w:hAnsi="TrebuchetMS" w:hint="default"/>
      <w:b w:val="0"/>
      <w:bCs w:val="0"/>
      <w:i w:val="0"/>
      <w:iCs w:val="0"/>
      <w:color w:val="242021"/>
      <w:sz w:val="20"/>
      <w:szCs w:val="20"/>
    </w:rPr>
  </w:style>
  <w:style w:type="character" w:customStyle="1" w:styleId="fontstyle11">
    <w:name w:val="fontstyle11"/>
    <w:basedOn w:val="a0"/>
    <w:rsid w:val="00EF4342"/>
    <w:rPr>
      <w:rFonts w:ascii="TrebuchetMS" w:hAnsi="TrebuchetMS" w:hint="default"/>
      <w:b w:val="0"/>
      <w:bCs w:val="0"/>
      <w:i w:val="0"/>
      <w:iCs w:val="0"/>
      <w:color w:val="242021"/>
      <w:sz w:val="20"/>
      <w:szCs w:val="20"/>
    </w:rPr>
  </w:style>
  <w:style w:type="paragraph" w:styleId="Web">
    <w:name w:val="Normal (Web)"/>
    <w:basedOn w:val="a"/>
    <w:uiPriority w:val="99"/>
    <w:semiHidden/>
    <w:unhideWhenUsed/>
    <w:rsid w:val="00C04121"/>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a5">
    <w:name w:val="Strong"/>
    <w:basedOn w:val="a0"/>
    <w:uiPriority w:val="22"/>
    <w:qFormat/>
    <w:rsid w:val="00C04121"/>
    <w:rPr>
      <w:b/>
      <w:bCs/>
    </w:rPr>
  </w:style>
  <w:style w:type="paragraph" w:styleId="a6">
    <w:name w:val="List Paragraph"/>
    <w:basedOn w:val="a"/>
    <w:uiPriority w:val="34"/>
    <w:qFormat/>
    <w:rsid w:val="00C04121"/>
    <w:pPr>
      <w:ind w:left="720"/>
      <w:contextualSpacing/>
    </w:pPr>
  </w:style>
  <w:style w:type="character" w:customStyle="1" w:styleId="fontstyle21">
    <w:name w:val="fontstyle21"/>
    <w:basedOn w:val="a0"/>
    <w:rsid w:val="00520245"/>
    <w:rPr>
      <w:rFonts w:ascii="TrebuchetMS-Bold" w:hAnsi="TrebuchetMS-Bold" w:hint="default"/>
      <w:b/>
      <w:bCs/>
      <w:i w:val="0"/>
      <w:iCs w:val="0"/>
      <w:color w:val="242021"/>
      <w:sz w:val="20"/>
      <w:szCs w:val="20"/>
    </w:rPr>
  </w:style>
  <w:style w:type="character" w:styleId="a7">
    <w:name w:val="Emphasis"/>
    <w:basedOn w:val="a0"/>
    <w:uiPriority w:val="20"/>
    <w:qFormat/>
    <w:rsid w:val="003B558B"/>
    <w:rPr>
      <w:i/>
      <w:iCs/>
    </w:rPr>
  </w:style>
  <w:style w:type="character" w:styleId="-">
    <w:name w:val="Hyperlink"/>
    <w:basedOn w:val="a0"/>
    <w:uiPriority w:val="99"/>
    <w:semiHidden/>
    <w:unhideWhenUsed/>
    <w:rsid w:val="00E53F0B"/>
    <w:rPr>
      <w:color w:val="0000FF"/>
      <w:u w:val="single"/>
    </w:rPr>
  </w:style>
  <w:style w:type="table" w:styleId="a8">
    <w:name w:val="Table Grid"/>
    <w:basedOn w:val="a1"/>
    <w:uiPriority w:val="39"/>
    <w:rsid w:val="00434C7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PHsfJQSxN2Sz0qHdaxmP6zK17Q==">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2376</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Τσιάβος Θεόδωρος</cp:lastModifiedBy>
  <cp:revision>2</cp:revision>
  <dcterms:created xsi:type="dcterms:W3CDTF">2024-01-19T12:33:00Z</dcterms:created>
  <dcterms:modified xsi:type="dcterms:W3CDTF">2024-01-19T12:33:00Z</dcterms:modified>
</cp:coreProperties>
</file>