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>ΕΝΔΕΙΚΤΙΚΕΣ ΑΠΑΝΤΗΣΕΙΣ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2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ο 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2.1) 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  <w:u w:color="ffffff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u w:color="ffffff"/>
          <w:rtl w:val="0"/>
          <w:lang w:val="en-US"/>
        </w:rPr>
        <w:t>α</w:t>
      </w:r>
      <w:r>
        <w:rPr>
          <w:rFonts w:ascii="Calibri" w:cs="Calibri" w:hAnsi="Calibri" w:eastAsia="Calibri"/>
          <w:b w:val="1"/>
          <w:bCs w:val="1"/>
          <w:sz w:val="24"/>
          <w:szCs w:val="24"/>
          <w:u w:color="ffffff"/>
          <w:rtl w:val="0"/>
          <w:lang w:val="en-US"/>
        </w:rPr>
        <w:t>)</w:t>
      </w:r>
      <w:r>
        <w:rPr>
          <w:rFonts w:ascii="Calibri" w:cs="Calibri" w:hAnsi="Calibri" w:eastAsia="Calibri"/>
          <w:sz w:val="24"/>
          <w:szCs w:val="24"/>
          <w:u w:color="ffffff"/>
          <w:rtl w:val="0"/>
          <w:lang w:val="en-US"/>
        </w:rPr>
        <w:t xml:space="preserve"> Λ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  <w:u w:color="ffffff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u w:color="ffffff"/>
          <w:rtl w:val="0"/>
          <w:lang w:val="en-US"/>
        </w:rPr>
        <w:t>β</w:t>
      </w:r>
      <w:r>
        <w:rPr>
          <w:rFonts w:ascii="Calibri" w:cs="Calibri" w:hAnsi="Calibri" w:eastAsia="Calibri"/>
          <w:b w:val="1"/>
          <w:bCs w:val="1"/>
          <w:sz w:val="24"/>
          <w:szCs w:val="24"/>
          <w:u w:color="ffffff"/>
          <w:rtl w:val="0"/>
          <w:lang w:val="en-US"/>
        </w:rPr>
        <w:t>)</w:t>
      </w:r>
      <w:r>
        <w:rPr>
          <w:rFonts w:ascii="Calibri" w:cs="Calibri" w:hAnsi="Calibri" w:eastAsia="Calibri"/>
          <w:sz w:val="24"/>
          <w:szCs w:val="24"/>
          <w:u w:color="ffffff"/>
          <w:rtl w:val="0"/>
          <w:lang w:val="en-US"/>
        </w:rPr>
        <w:t xml:space="preserve"> Λ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  <w:u w:color="ffffff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u w:color="ffffff"/>
          <w:rtl w:val="0"/>
          <w:lang w:val="en-US"/>
        </w:rPr>
        <w:t>γ</w:t>
      </w:r>
      <w:r>
        <w:rPr>
          <w:rFonts w:ascii="Calibri" w:cs="Calibri" w:hAnsi="Calibri" w:eastAsia="Calibri"/>
          <w:b w:val="1"/>
          <w:bCs w:val="1"/>
          <w:sz w:val="24"/>
          <w:szCs w:val="24"/>
          <w:u w:color="ffffff"/>
          <w:rtl w:val="0"/>
          <w:lang w:val="en-US"/>
        </w:rPr>
        <w:t>)</w:t>
      </w:r>
      <w:r>
        <w:rPr>
          <w:rFonts w:ascii="Calibri" w:cs="Calibri" w:hAnsi="Calibri" w:eastAsia="Calibri"/>
          <w:sz w:val="24"/>
          <w:szCs w:val="24"/>
          <w:u w:color="ffffff"/>
          <w:rtl w:val="0"/>
          <w:lang w:val="en-US"/>
        </w:rPr>
        <w:t xml:space="preserve"> Σ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  <w:u w:color="ffffff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u w:color="ffffff"/>
          <w:rtl w:val="0"/>
          <w:lang w:val="en-US"/>
        </w:rPr>
        <w:t>δ</w:t>
      </w:r>
      <w:r>
        <w:rPr>
          <w:rFonts w:ascii="Calibri" w:cs="Calibri" w:hAnsi="Calibri" w:eastAsia="Calibri"/>
          <w:b w:val="1"/>
          <w:bCs w:val="1"/>
          <w:sz w:val="24"/>
          <w:szCs w:val="24"/>
          <w:u w:color="ffffff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u w:color="ffffff"/>
          <w:rtl w:val="0"/>
          <w:lang w:val="en-US"/>
        </w:rPr>
        <w:t>Σ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  <w:u w:color="ffffff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u w:color="ffffff"/>
          <w:rtl w:val="0"/>
          <w:lang w:val="en-US"/>
        </w:rPr>
        <w:t>ε</w:t>
      </w:r>
      <w:r>
        <w:rPr>
          <w:rFonts w:ascii="Calibri" w:cs="Calibri" w:hAnsi="Calibri" w:eastAsia="Calibri"/>
          <w:b w:val="1"/>
          <w:bCs w:val="1"/>
          <w:sz w:val="24"/>
          <w:szCs w:val="24"/>
          <w:u w:color="ffffff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u w:color="ffffff"/>
          <w:rtl w:val="0"/>
          <w:lang w:val="en-US"/>
        </w:rPr>
        <w:t>Λ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  <w:u w:color="ffffff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u w:color="ffffff"/>
          <w:rtl w:val="0"/>
          <w:lang w:val="en-US"/>
        </w:rPr>
        <w:t>2.2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) </w:t>
      </w:r>
    </w:p>
    <w:p>
      <w:pPr>
        <w:pStyle w:val="Κύριο τμήμα A"/>
        <w:spacing w:line="360" w:lineRule="auto"/>
        <w:jc w:val="both"/>
      </w:pP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Η διαφήμιση ως διαδικασία βασίζεται στην μεταφορά πληροφοριών από τον πομπό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επιχείρηση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στον δέκτη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υποψήφιος καταναλωτής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).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Μετά την λήψη των πληροφοριών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ο δέκτης του μηνύματος κατανοεί τις λεπτομέρειές του και συσχετίζεται θετικά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ή αρνητικά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με αυτό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Στο επόμενο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τρίτο στάδιο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διαμορφώνεται η στάση του καταναλωτή απέναντι στο προϊόν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Τέλος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σε περίπτωση που η στάση είναι θετική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ο καταναλωτής προχωρά στην δράση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Είναι επιτυχημένη η προσπάθεια της επιχείρησης όταν επιτύχει να οδηγήσει τον καταναλωτή από την κατάσταση της άγνοιας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σε δράση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Το μοντέλο που βασίζεται στην παραπάνω ακολουθία ονομάζεται Ιεραρχική κλιμάκωση των αποτελεσμάτων της διαφήμισης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Δεν είναι το μοναδικό μοντέλο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-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υπόδειγμα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αλλά υπάρχουν και άλλα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Ωστόσο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όλα τα ανάλογα μοντέλα βασίζονται στην υπόθεση ότι οι άνθρωποι περνούν από το γνωστικό στο συγκινησιακό στάδιο για να φτάσουν στην επιθυμητή για την επιχείρηση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δράση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