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E3CA7" w14:textId="77777777" w:rsidR="00124FD0" w:rsidRPr="00124FD0" w:rsidRDefault="00124FD0" w:rsidP="007F0BD0">
      <w:pPr>
        <w:spacing w:after="0" w:line="360" w:lineRule="auto"/>
        <w:rPr>
          <w:b/>
          <w:bCs/>
          <w:i w:val="0"/>
          <w:iCs w:val="0"/>
          <w:sz w:val="24"/>
          <w:szCs w:val="24"/>
          <w:lang w:val="el-GR"/>
        </w:rPr>
      </w:pPr>
      <w:r w:rsidRPr="00124FD0">
        <w:rPr>
          <w:b/>
          <w:bCs/>
          <w:i w:val="0"/>
          <w:iCs w:val="0"/>
          <w:sz w:val="24"/>
          <w:szCs w:val="24"/>
          <w:lang w:val="el-GR"/>
        </w:rPr>
        <w:t xml:space="preserve">Ενδεικτική επίλυση </w:t>
      </w:r>
    </w:p>
    <w:p w14:paraId="487E2834" w14:textId="77777777" w:rsidR="00124FD0" w:rsidRPr="00124FD0" w:rsidRDefault="00124FD0" w:rsidP="00124FD0">
      <w:p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  <w:r w:rsidRPr="00124FD0">
        <w:rPr>
          <w:i w:val="0"/>
          <w:iCs w:val="0"/>
          <w:sz w:val="24"/>
          <w:szCs w:val="24"/>
          <w:lang w:val="el-GR"/>
        </w:rPr>
        <w:t xml:space="preserve">4.1 </w:t>
      </w:r>
    </w:p>
    <w:p w14:paraId="009442AA" w14:textId="40B62178" w:rsidR="004E1D1E" w:rsidRDefault="00124FD0" w:rsidP="00124FD0">
      <w:p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  <w:r w:rsidRPr="00124FD0">
        <w:rPr>
          <w:i w:val="0"/>
          <w:iCs w:val="0"/>
          <w:sz w:val="24"/>
          <w:szCs w:val="24"/>
          <w:lang w:val="el-GR"/>
        </w:rPr>
        <w:t>α)</w:t>
      </w:r>
      <w:r w:rsidR="004E1D1E">
        <w:rPr>
          <w:i w:val="0"/>
          <w:iCs w:val="0"/>
          <w:sz w:val="24"/>
          <w:szCs w:val="24"/>
          <w:lang w:val="el-GR"/>
        </w:rPr>
        <w:t xml:space="preserve"> Χαρακτηριστικές διαφορές των δυο εξετάσεων αποτελούν:</w:t>
      </w:r>
    </w:p>
    <w:p w14:paraId="59983F02" w14:textId="0E8383E1" w:rsidR="004E1D1E" w:rsidRPr="004E1D1E" w:rsidRDefault="004E1D1E" w:rsidP="004E1D1E">
      <w:pPr>
        <w:pStyle w:val="a9"/>
        <w:numPr>
          <w:ilvl w:val="0"/>
          <w:numId w:val="3"/>
        </w:num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 xml:space="preserve">τα παράθυρα που χρησιμοποιούνται, στην </w:t>
      </w:r>
      <w:r w:rsidRPr="004E1D1E">
        <w:rPr>
          <w:rFonts w:ascii="Calibri" w:hAnsi="Calibri" w:cs="Calibri"/>
          <w:i w:val="0"/>
          <w:sz w:val="24"/>
          <w:szCs w:val="24"/>
        </w:rPr>
        <w:t>CT</w:t>
      </w:r>
      <w:r w:rsidRPr="004E1D1E">
        <w:rPr>
          <w:rFonts w:ascii="Calibri" w:hAnsi="Calibri" w:cs="Calibri"/>
          <w:i w:val="0"/>
          <w:sz w:val="24"/>
          <w:szCs w:val="24"/>
          <w:lang w:val="el-GR"/>
        </w:rPr>
        <w:t xml:space="preserve"> θώρακος </w:t>
      </w:r>
      <w:r>
        <w:rPr>
          <w:rFonts w:ascii="Calibri" w:hAnsi="Calibri" w:cs="Calibri"/>
          <w:i w:val="0"/>
          <w:sz w:val="24"/>
          <w:szCs w:val="24"/>
          <w:lang w:val="el-GR"/>
        </w:rPr>
        <w:t xml:space="preserve">χρησιμοποιείται παράθυρο μαλακών μορίων και πνευμονικό παράθυρο ενώ στην </w:t>
      </w:r>
      <w:r w:rsidRPr="004E1D1E">
        <w:rPr>
          <w:rFonts w:ascii="Calibri" w:hAnsi="Calibri" w:cs="Calibri"/>
          <w:i w:val="0"/>
          <w:sz w:val="24"/>
          <w:szCs w:val="24"/>
        </w:rPr>
        <w:t>High</w:t>
      </w:r>
      <w:r w:rsidRPr="004E1D1E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  <w:r w:rsidRPr="004E1D1E">
        <w:rPr>
          <w:rFonts w:ascii="Calibri" w:hAnsi="Calibri" w:cs="Calibri"/>
          <w:i w:val="0"/>
          <w:sz w:val="24"/>
          <w:szCs w:val="24"/>
        </w:rPr>
        <w:t>resolution</w:t>
      </w:r>
      <w:r>
        <w:rPr>
          <w:rFonts w:ascii="Calibri" w:hAnsi="Calibri" w:cs="Calibri"/>
          <w:i w:val="0"/>
          <w:sz w:val="24"/>
          <w:szCs w:val="24"/>
          <w:lang w:val="el-GR"/>
        </w:rPr>
        <w:t xml:space="preserve"> μόνο πνευμονικό αφού μελετά μεμονωμένα το πνευμονικό παρέγχυμα</w:t>
      </w:r>
    </w:p>
    <w:p w14:paraId="7DC30D33" w14:textId="0B92B624" w:rsidR="00124FD0" w:rsidRPr="004E1D1E" w:rsidRDefault="004E1D1E" w:rsidP="004E1D1E">
      <w:pPr>
        <w:pStyle w:val="a9"/>
        <w:numPr>
          <w:ilvl w:val="0"/>
          <w:numId w:val="3"/>
        </w:num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  <w:r>
        <w:rPr>
          <w:i w:val="0"/>
          <w:iCs w:val="0"/>
          <w:sz w:val="24"/>
          <w:szCs w:val="24"/>
          <w:lang w:val="el-GR"/>
        </w:rPr>
        <w:t xml:space="preserve">το πάχος τομής, στην </w:t>
      </w:r>
      <w:r w:rsidRPr="004E1D1E">
        <w:rPr>
          <w:rFonts w:ascii="Calibri" w:hAnsi="Calibri" w:cs="Calibri"/>
          <w:i w:val="0"/>
          <w:sz w:val="24"/>
          <w:szCs w:val="24"/>
        </w:rPr>
        <w:t>High</w:t>
      </w:r>
      <w:r w:rsidRPr="004E1D1E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  <w:r w:rsidRPr="004E1D1E">
        <w:rPr>
          <w:rFonts w:ascii="Calibri" w:hAnsi="Calibri" w:cs="Calibri"/>
          <w:i w:val="0"/>
          <w:sz w:val="24"/>
          <w:szCs w:val="24"/>
        </w:rPr>
        <w:t>resolution</w:t>
      </w:r>
      <w:r>
        <w:rPr>
          <w:rFonts w:ascii="Calibri" w:hAnsi="Calibri" w:cs="Calibri"/>
          <w:i w:val="0"/>
          <w:sz w:val="24"/>
          <w:szCs w:val="24"/>
          <w:lang w:val="el-GR"/>
        </w:rPr>
        <w:t xml:space="preserve"> χρησιμοποιείται μικρότερο πάχος συγκριτικά με την </w:t>
      </w:r>
      <w:r w:rsidRPr="004E1D1E">
        <w:rPr>
          <w:rFonts w:ascii="Calibri" w:hAnsi="Calibri" w:cs="Calibri"/>
          <w:i w:val="0"/>
          <w:sz w:val="24"/>
          <w:szCs w:val="24"/>
        </w:rPr>
        <w:t>CT</w:t>
      </w:r>
      <w:r w:rsidRPr="004E1D1E">
        <w:rPr>
          <w:rFonts w:ascii="Calibri" w:hAnsi="Calibri" w:cs="Calibri"/>
          <w:i w:val="0"/>
          <w:sz w:val="24"/>
          <w:szCs w:val="24"/>
          <w:lang w:val="el-GR"/>
        </w:rPr>
        <w:t xml:space="preserve"> θώρακος.</w:t>
      </w:r>
    </w:p>
    <w:p w14:paraId="6AE328C7" w14:textId="1C0984C6" w:rsidR="00124FD0" w:rsidRPr="004E1D1E" w:rsidRDefault="00124FD0" w:rsidP="00124FD0">
      <w:p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  <w:r w:rsidRPr="00124FD0">
        <w:rPr>
          <w:i w:val="0"/>
          <w:iCs w:val="0"/>
          <w:sz w:val="24"/>
          <w:szCs w:val="24"/>
          <w:lang w:val="el-GR"/>
        </w:rPr>
        <w:t>β)</w:t>
      </w:r>
      <w:r w:rsidR="000071BE">
        <w:rPr>
          <w:i w:val="0"/>
          <w:iCs w:val="0"/>
          <w:sz w:val="24"/>
          <w:szCs w:val="24"/>
          <w:lang w:val="el-GR"/>
        </w:rPr>
        <w:t xml:space="preserve"> </w:t>
      </w:r>
      <w:r w:rsidR="009C1F58">
        <w:rPr>
          <w:i w:val="0"/>
          <w:iCs w:val="0"/>
          <w:sz w:val="24"/>
          <w:szCs w:val="24"/>
          <w:lang w:val="el-GR"/>
        </w:rPr>
        <w:t>Η</w:t>
      </w:r>
      <w:r w:rsidR="004E1D1E">
        <w:rPr>
          <w:i w:val="0"/>
          <w:iCs w:val="0"/>
          <w:sz w:val="24"/>
          <w:szCs w:val="24"/>
          <w:lang w:val="el-GR"/>
        </w:rPr>
        <w:t xml:space="preserve"> Υπολογιστική Τομογραφία </w:t>
      </w:r>
      <w:r w:rsidR="009C1F58">
        <w:rPr>
          <w:i w:val="0"/>
          <w:iCs w:val="0"/>
          <w:sz w:val="24"/>
          <w:szCs w:val="24"/>
          <w:lang w:val="el-GR"/>
        </w:rPr>
        <w:t>χαρακτηρίζεται από</w:t>
      </w:r>
      <w:r w:rsidR="004E1D1E">
        <w:rPr>
          <w:i w:val="0"/>
          <w:iCs w:val="0"/>
          <w:sz w:val="24"/>
          <w:szCs w:val="24"/>
          <w:lang w:val="el-GR"/>
        </w:rPr>
        <w:t xml:space="preserve"> αυξημένη δόση, η οποία είναι μεγαλύτερη όσο μικρότερο είναι το πάχος</w:t>
      </w:r>
      <w:r w:rsidR="009C1F58">
        <w:rPr>
          <w:i w:val="0"/>
          <w:iCs w:val="0"/>
          <w:sz w:val="24"/>
          <w:szCs w:val="24"/>
          <w:lang w:val="el-GR"/>
        </w:rPr>
        <w:t>,</w:t>
      </w:r>
      <w:r w:rsidR="000E7616">
        <w:rPr>
          <w:i w:val="0"/>
          <w:iCs w:val="0"/>
          <w:sz w:val="24"/>
          <w:szCs w:val="24"/>
          <w:lang w:val="el-GR"/>
        </w:rPr>
        <w:t xml:space="preserve"> ενώ παρέχει </w:t>
      </w:r>
      <w:r w:rsidR="009C1F58">
        <w:rPr>
          <w:i w:val="0"/>
          <w:iCs w:val="0"/>
          <w:sz w:val="24"/>
          <w:szCs w:val="24"/>
          <w:lang w:val="el-GR"/>
        </w:rPr>
        <w:t>τη δυνατότητα</w:t>
      </w:r>
      <w:r w:rsidR="000E7616">
        <w:rPr>
          <w:i w:val="0"/>
          <w:iCs w:val="0"/>
          <w:sz w:val="24"/>
          <w:szCs w:val="24"/>
          <w:lang w:val="el-GR"/>
        </w:rPr>
        <w:t xml:space="preserve"> ανασύν</w:t>
      </w:r>
      <w:r w:rsidR="00255D7D">
        <w:rPr>
          <w:i w:val="0"/>
          <w:iCs w:val="0"/>
          <w:sz w:val="24"/>
          <w:szCs w:val="24"/>
          <w:lang w:val="el-GR"/>
        </w:rPr>
        <w:t>θ</w:t>
      </w:r>
      <w:r w:rsidR="000E7616">
        <w:rPr>
          <w:i w:val="0"/>
          <w:iCs w:val="0"/>
          <w:sz w:val="24"/>
          <w:szCs w:val="24"/>
          <w:lang w:val="el-GR"/>
        </w:rPr>
        <w:t xml:space="preserve">εσης </w:t>
      </w:r>
      <w:r w:rsidR="00255D7D">
        <w:rPr>
          <w:i w:val="0"/>
          <w:iCs w:val="0"/>
          <w:sz w:val="24"/>
          <w:szCs w:val="24"/>
          <w:lang w:val="el-GR"/>
        </w:rPr>
        <w:t xml:space="preserve">των εικόνων. Βάσει αυτών των </w:t>
      </w:r>
      <w:r w:rsidR="006F7B5C">
        <w:rPr>
          <w:i w:val="0"/>
          <w:iCs w:val="0"/>
          <w:sz w:val="24"/>
          <w:szCs w:val="24"/>
          <w:lang w:val="el-GR"/>
        </w:rPr>
        <w:t>χαρακτηριστικών</w:t>
      </w:r>
      <w:r w:rsidR="00255D7D">
        <w:rPr>
          <w:i w:val="0"/>
          <w:iCs w:val="0"/>
          <w:sz w:val="24"/>
          <w:szCs w:val="24"/>
          <w:lang w:val="el-GR"/>
        </w:rPr>
        <w:t xml:space="preserve">, </w:t>
      </w:r>
      <w:r w:rsidR="006F7B5C">
        <w:rPr>
          <w:i w:val="0"/>
          <w:iCs w:val="0"/>
          <w:sz w:val="24"/>
          <w:szCs w:val="24"/>
          <w:lang w:val="el-GR"/>
        </w:rPr>
        <w:t xml:space="preserve">σάρωση της ανατομικής περιοχής μια φορά για κάλυψη της </w:t>
      </w:r>
      <w:r w:rsidR="006F7B5C">
        <w:rPr>
          <w:rFonts w:ascii="Calibri" w:hAnsi="Calibri" w:cs="Calibri"/>
          <w:i w:val="0"/>
          <w:sz w:val="24"/>
          <w:szCs w:val="24"/>
          <w:lang w:val="el-GR"/>
        </w:rPr>
        <w:t>“</w:t>
      </w:r>
      <w:r w:rsidR="006F7B5C">
        <w:rPr>
          <w:rFonts w:ascii="Calibri" w:hAnsi="Calibri" w:cs="Calibri"/>
          <w:i w:val="0"/>
          <w:sz w:val="24"/>
          <w:szCs w:val="24"/>
        </w:rPr>
        <w:t>CT</w:t>
      </w:r>
      <w:r w:rsidR="006F7B5C">
        <w:rPr>
          <w:rFonts w:ascii="Calibri" w:hAnsi="Calibri" w:cs="Calibri"/>
          <w:i w:val="0"/>
          <w:sz w:val="24"/>
          <w:szCs w:val="24"/>
          <w:lang w:val="el-GR"/>
        </w:rPr>
        <w:t xml:space="preserve"> θώρακος ”</w:t>
      </w:r>
      <w:r w:rsidR="006F7B5C">
        <w:rPr>
          <w:i w:val="0"/>
          <w:iCs w:val="0"/>
          <w:sz w:val="24"/>
          <w:szCs w:val="24"/>
          <w:lang w:val="el-GR"/>
        </w:rPr>
        <w:t xml:space="preserve">  και ανασύνθεση των εικόνων σε μικρότερο πάχος τομής για κάλυψη της </w:t>
      </w:r>
      <w:r w:rsidR="006F7B5C">
        <w:rPr>
          <w:rFonts w:ascii="Calibri" w:hAnsi="Calibri" w:cs="Calibri"/>
          <w:i w:val="0"/>
          <w:sz w:val="24"/>
          <w:szCs w:val="24"/>
          <w:lang w:val="el-GR"/>
        </w:rPr>
        <w:t>“</w:t>
      </w:r>
      <w:r w:rsidR="006F7B5C">
        <w:rPr>
          <w:rFonts w:ascii="Calibri" w:hAnsi="Calibri" w:cs="Calibri"/>
          <w:i w:val="0"/>
          <w:sz w:val="24"/>
          <w:szCs w:val="24"/>
        </w:rPr>
        <w:t>High</w:t>
      </w:r>
      <w:r w:rsidR="006F7B5C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  <w:r w:rsidR="006F7B5C">
        <w:rPr>
          <w:rFonts w:ascii="Calibri" w:hAnsi="Calibri" w:cs="Calibri"/>
          <w:i w:val="0"/>
          <w:sz w:val="24"/>
          <w:szCs w:val="24"/>
        </w:rPr>
        <w:t>resolution</w:t>
      </w:r>
      <w:r w:rsidR="006F7B5C">
        <w:rPr>
          <w:rFonts w:ascii="Calibri" w:hAnsi="Calibri" w:cs="Calibri"/>
          <w:i w:val="0"/>
          <w:sz w:val="24"/>
          <w:szCs w:val="24"/>
          <w:lang w:val="el-GR"/>
        </w:rPr>
        <w:t>”</w:t>
      </w:r>
      <w:r w:rsidR="006F7B5C">
        <w:rPr>
          <w:i w:val="0"/>
          <w:iCs w:val="0"/>
          <w:sz w:val="24"/>
          <w:szCs w:val="24"/>
          <w:lang w:val="el-GR"/>
        </w:rPr>
        <w:t xml:space="preserve"> συμβάλλει σε μικρότερη επιβάρυνση του εξεταζόμενου συγκριτικά με την αντίστοιχη κατά την πραγματοποίηση δυο επιμέρους εξετάσεων.</w:t>
      </w:r>
      <w:r w:rsidR="00255D7D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</w:p>
    <w:p w14:paraId="76F3D3C0" w14:textId="77777777" w:rsidR="00124FD0" w:rsidRPr="00124FD0" w:rsidRDefault="00124FD0" w:rsidP="00124FD0">
      <w:p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</w:p>
    <w:p w14:paraId="504FF21D" w14:textId="77777777" w:rsidR="00124FD0" w:rsidRDefault="00124FD0" w:rsidP="00124FD0">
      <w:p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  <w:r w:rsidRPr="00124FD0">
        <w:rPr>
          <w:i w:val="0"/>
          <w:iCs w:val="0"/>
          <w:sz w:val="24"/>
          <w:szCs w:val="24"/>
          <w:lang w:val="el-GR"/>
        </w:rPr>
        <w:t xml:space="preserve">4.2 </w:t>
      </w:r>
    </w:p>
    <w:p w14:paraId="47F7483F" w14:textId="393F933B" w:rsidR="00A755D4" w:rsidRDefault="009C1F58" w:rsidP="00B849DC">
      <w:p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  <w:r>
        <w:rPr>
          <w:i w:val="0"/>
          <w:iCs w:val="0"/>
          <w:sz w:val="24"/>
          <w:szCs w:val="24"/>
          <w:lang w:val="el-GR"/>
        </w:rPr>
        <w:t xml:space="preserve">α) </w:t>
      </w:r>
      <w:r w:rsidR="00057C1E">
        <w:rPr>
          <w:i w:val="0"/>
          <w:iCs w:val="0"/>
          <w:sz w:val="24"/>
          <w:szCs w:val="24"/>
          <w:lang w:val="el-GR"/>
        </w:rPr>
        <w:t xml:space="preserve">Σε ένα </w:t>
      </w:r>
      <w:r w:rsidR="00057C1E">
        <w:rPr>
          <w:i w:val="0"/>
          <w:iCs w:val="0"/>
          <w:sz w:val="24"/>
          <w:szCs w:val="24"/>
        </w:rPr>
        <w:t>Spiral</w:t>
      </w:r>
      <w:r w:rsidR="00057C1E">
        <w:rPr>
          <w:i w:val="0"/>
          <w:iCs w:val="0"/>
          <w:sz w:val="24"/>
          <w:szCs w:val="24"/>
          <w:lang w:val="el-GR"/>
        </w:rPr>
        <w:t xml:space="preserve"> σύστημα καλύπτεται συνεχόμενα όλο το μήκος της εξεταζόμενης περιοχής, και όχι κατά τομές, με δυνατότητα </w:t>
      </w:r>
      <w:r>
        <w:rPr>
          <w:i w:val="0"/>
          <w:iCs w:val="0"/>
          <w:sz w:val="24"/>
          <w:szCs w:val="24"/>
          <w:lang w:val="el-GR"/>
        </w:rPr>
        <w:t xml:space="preserve">ανασύνθεσης σε άλλα επίπεδα καθώς και </w:t>
      </w:r>
      <w:r w:rsidR="00057C1E">
        <w:rPr>
          <w:i w:val="0"/>
          <w:iCs w:val="0"/>
          <w:sz w:val="24"/>
          <w:szCs w:val="24"/>
          <w:lang w:val="el-GR"/>
        </w:rPr>
        <w:t>τρισδιάστατης απεικόνισης</w:t>
      </w:r>
      <w:r>
        <w:rPr>
          <w:i w:val="0"/>
          <w:iCs w:val="0"/>
          <w:sz w:val="24"/>
          <w:szCs w:val="24"/>
          <w:lang w:val="el-GR"/>
        </w:rPr>
        <w:t>.</w:t>
      </w:r>
    </w:p>
    <w:p w14:paraId="6063ACE7" w14:textId="087DD7E8" w:rsidR="009C1F58" w:rsidRPr="00057C1E" w:rsidRDefault="009C1F58" w:rsidP="00B849DC">
      <w:pPr>
        <w:spacing w:after="0" w:line="360" w:lineRule="auto"/>
        <w:jc w:val="both"/>
        <w:rPr>
          <w:rFonts w:ascii="Calibri" w:hAnsi="Calibri" w:cs="Calibri"/>
          <w:i w:val="0"/>
          <w:sz w:val="24"/>
          <w:szCs w:val="24"/>
          <w:lang w:val="el-GR"/>
        </w:rPr>
      </w:pPr>
      <w:r>
        <w:rPr>
          <w:i w:val="0"/>
          <w:iCs w:val="0"/>
          <w:sz w:val="24"/>
          <w:szCs w:val="24"/>
          <w:lang w:val="el-GR"/>
        </w:rPr>
        <w:t xml:space="preserve">β) </w:t>
      </w:r>
      <w:r w:rsidR="00B849DC">
        <w:rPr>
          <w:i w:val="0"/>
          <w:iCs w:val="0"/>
          <w:sz w:val="24"/>
          <w:szCs w:val="24"/>
          <w:lang w:val="el-GR"/>
        </w:rPr>
        <w:t xml:space="preserve">Η απλή ακτινογραφία παρέχει μια </w:t>
      </w:r>
      <w:r w:rsidR="00B849DC" w:rsidRPr="00B849DC">
        <w:rPr>
          <w:i w:val="0"/>
          <w:iCs w:val="0"/>
          <w:sz w:val="24"/>
          <w:szCs w:val="24"/>
          <w:lang w:val="el-GR"/>
        </w:rPr>
        <w:t>2</w:t>
      </w:r>
      <w:r w:rsidR="00B849DC">
        <w:rPr>
          <w:i w:val="0"/>
          <w:iCs w:val="0"/>
          <w:sz w:val="24"/>
          <w:szCs w:val="24"/>
        </w:rPr>
        <w:t>D</w:t>
      </w:r>
      <w:r w:rsidR="00B849DC">
        <w:rPr>
          <w:i w:val="0"/>
          <w:iCs w:val="0"/>
          <w:sz w:val="24"/>
          <w:szCs w:val="24"/>
          <w:lang w:val="el-GR"/>
        </w:rPr>
        <w:t xml:space="preserve"> απεικόνιση της περιοχής ενώ η Υπολογιστική Τομογραφία επιτρέπει την </w:t>
      </w:r>
      <w:r w:rsidR="00B849DC" w:rsidRPr="00B849DC">
        <w:rPr>
          <w:i w:val="0"/>
          <w:iCs w:val="0"/>
          <w:sz w:val="24"/>
          <w:szCs w:val="24"/>
          <w:lang w:val="el-GR"/>
        </w:rPr>
        <w:t>3</w:t>
      </w:r>
      <w:r w:rsidR="00B849DC">
        <w:rPr>
          <w:i w:val="0"/>
          <w:iCs w:val="0"/>
          <w:sz w:val="24"/>
          <w:szCs w:val="24"/>
        </w:rPr>
        <w:t>D</w:t>
      </w:r>
      <w:r w:rsidR="00B849DC">
        <w:rPr>
          <w:i w:val="0"/>
          <w:iCs w:val="0"/>
          <w:sz w:val="24"/>
          <w:szCs w:val="24"/>
          <w:lang w:val="el-GR"/>
        </w:rPr>
        <w:t xml:space="preserve"> απεικόνιση</w:t>
      </w:r>
      <w:r w:rsidR="00E874A7">
        <w:rPr>
          <w:i w:val="0"/>
          <w:iCs w:val="0"/>
          <w:sz w:val="24"/>
          <w:szCs w:val="24"/>
          <w:lang w:val="el-GR"/>
        </w:rPr>
        <w:t>. Γενικά η προσέγγιση των άνω – κάτω άκρων μέσω υπολογιστικής τομογραφίας δεν είναι συχνή αλλά η δυνατότητα</w:t>
      </w:r>
      <w:r w:rsidR="00B849DC">
        <w:rPr>
          <w:i w:val="0"/>
          <w:iCs w:val="0"/>
          <w:sz w:val="24"/>
          <w:szCs w:val="24"/>
          <w:lang w:val="el-GR"/>
        </w:rPr>
        <w:t xml:space="preserve"> </w:t>
      </w:r>
      <w:r w:rsidR="00E874A7">
        <w:rPr>
          <w:i w:val="0"/>
          <w:iCs w:val="0"/>
          <w:sz w:val="24"/>
          <w:szCs w:val="24"/>
          <w:lang w:val="el-GR"/>
        </w:rPr>
        <w:t>τρισδιάστατης</w:t>
      </w:r>
      <w:r w:rsidR="00B849DC">
        <w:rPr>
          <w:i w:val="0"/>
          <w:iCs w:val="0"/>
          <w:sz w:val="24"/>
          <w:szCs w:val="24"/>
          <w:lang w:val="el-GR"/>
        </w:rPr>
        <w:t xml:space="preserve"> ανασύνθεσης σ</w:t>
      </w:r>
      <w:r>
        <w:rPr>
          <w:i w:val="0"/>
          <w:iCs w:val="0"/>
          <w:sz w:val="24"/>
          <w:szCs w:val="24"/>
          <w:lang w:val="el-GR"/>
        </w:rPr>
        <w:t>υμβάλλει στο σχεδιασμό της χειρουργικής προσέγγιση</w:t>
      </w:r>
      <w:r w:rsidR="00B849DC">
        <w:rPr>
          <w:i w:val="0"/>
          <w:iCs w:val="0"/>
          <w:sz w:val="24"/>
          <w:szCs w:val="24"/>
          <w:lang w:val="el-GR"/>
        </w:rPr>
        <w:t>ς</w:t>
      </w:r>
      <w:r w:rsidR="00E874A7">
        <w:rPr>
          <w:i w:val="0"/>
          <w:iCs w:val="0"/>
          <w:sz w:val="24"/>
          <w:szCs w:val="24"/>
          <w:lang w:val="el-GR"/>
        </w:rPr>
        <w:t>, όπως απαιτείται σε αυτή την περίπτωση</w:t>
      </w:r>
      <w:r w:rsidR="00B849DC">
        <w:rPr>
          <w:i w:val="0"/>
          <w:iCs w:val="0"/>
          <w:sz w:val="24"/>
          <w:szCs w:val="24"/>
          <w:lang w:val="el-GR"/>
        </w:rPr>
        <w:t>.</w:t>
      </w:r>
    </w:p>
    <w:p w14:paraId="6037F34C" w14:textId="749B66BC" w:rsidR="002C41CC" w:rsidRPr="005F7BB8" w:rsidRDefault="002C41CC" w:rsidP="00A755D4">
      <w:pPr>
        <w:spacing w:after="0" w:line="360" w:lineRule="auto"/>
        <w:jc w:val="both"/>
        <w:rPr>
          <w:rFonts w:ascii="Calibri" w:hAnsi="Calibri" w:cs="Calibri"/>
          <w:i w:val="0"/>
          <w:sz w:val="24"/>
          <w:szCs w:val="24"/>
          <w:lang w:val="el-GR"/>
        </w:rPr>
      </w:pPr>
    </w:p>
    <w:p w14:paraId="5D7D9CA6" w14:textId="77777777" w:rsidR="00F500A6" w:rsidRPr="00F500A6" w:rsidRDefault="00F500A6" w:rsidP="004A1CEF">
      <w:pPr>
        <w:spacing w:after="0"/>
        <w:jc w:val="both"/>
        <w:rPr>
          <w:i w:val="0"/>
          <w:sz w:val="24"/>
          <w:szCs w:val="24"/>
          <w:lang w:val="el-GR"/>
        </w:rPr>
      </w:pPr>
    </w:p>
    <w:p w14:paraId="36EF77AE" w14:textId="77777777" w:rsidR="00F500A6" w:rsidRPr="00F500A6" w:rsidRDefault="00F500A6" w:rsidP="004A1CEF">
      <w:pPr>
        <w:spacing w:after="0"/>
        <w:rPr>
          <w:b/>
          <w:i w:val="0"/>
          <w:sz w:val="24"/>
          <w:szCs w:val="24"/>
          <w:lang w:val="el-GR"/>
        </w:rPr>
      </w:pPr>
    </w:p>
    <w:sectPr w:rsidR="00F500A6" w:rsidRPr="00F500A6" w:rsidSect="00183B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07E3B"/>
    <w:multiLevelType w:val="hybridMultilevel"/>
    <w:tmpl w:val="D01661F4"/>
    <w:lvl w:ilvl="0" w:tplc="0408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 w15:restartNumberingAfterBreak="0">
    <w:nsid w:val="5B173A4B"/>
    <w:multiLevelType w:val="hybridMultilevel"/>
    <w:tmpl w:val="174C1A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25F44"/>
    <w:multiLevelType w:val="hybridMultilevel"/>
    <w:tmpl w:val="6A68964E"/>
    <w:lvl w:ilvl="0" w:tplc="7018BF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057203">
    <w:abstractNumId w:val="1"/>
  </w:num>
  <w:num w:numId="2" w16cid:durableId="1015040579">
    <w:abstractNumId w:val="2"/>
  </w:num>
  <w:num w:numId="3" w16cid:durableId="161070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0A6"/>
    <w:rsid w:val="000071BE"/>
    <w:rsid w:val="000129B6"/>
    <w:rsid w:val="00033BD5"/>
    <w:rsid w:val="00057C1E"/>
    <w:rsid w:val="000E7616"/>
    <w:rsid w:val="001242AC"/>
    <w:rsid w:val="00124FD0"/>
    <w:rsid w:val="001664EA"/>
    <w:rsid w:val="00183BB8"/>
    <w:rsid w:val="001C01A7"/>
    <w:rsid w:val="00255D7D"/>
    <w:rsid w:val="00274B09"/>
    <w:rsid w:val="002B7B5B"/>
    <w:rsid w:val="002C41CC"/>
    <w:rsid w:val="00373F14"/>
    <w:rsid w:val="00464765"/>
    <w:rsid w:val="00470EA1"/>
    <w:rsid w:val="004A1CEF"/>
    <w:rsid w:val="004C4AB3"/>
    <w:rsid w:val="004E1D1E"/>
    <w:rsid w:val="00566CF5"/>
    <w:rsid w:val="005E5D3E"/>
    <w:rsid w:val="005F7BB8"/>
    <w:rsid w:val="00642A69"/>
    <w:rsid w:val="006449C9"/>
    <w:rsid w:val="00645290"/>
    <w:rsid w:val="00660917"/>
    <w:rsid w:val="00695E14"/>
    <w:rsid w:val="006A013F"/>
    <w:rsid w:val="006A59B7"/>
    <w:rsid w:val="006E2AB9"/>
    <w:rsid w:val="006F7B5C"/>
    <w:rsid w:val="00735E96"/>
    <w:rsid w:val="00751B3E"/>
    <w:rsid w:val="007F0BD0"/>
    <w:rsid w:val="008225A0"/>
    <w:rsid w:val="00833156"/>
    <w:rsid w:val="00994939"/>
    <w:rsid w:val="009A36C1"/>
    <w:rsid w:val="009B1F11"/>
    <w:rsid w:val="009C1F58"/>
    <w:rsid w:val="009C3D30"/>
    <w:rsid w:val="00A755D4"/>
    <w:rsid w:val="00B11F4C"/>
    <w:rsid w:val="00B4665E"/>
    <w:rsid w:val="00B50FC1"/>
    <w:rsid w:val="00B849DC"/>
    <w:rsid w:val="00BC5CB3"/>
    <w:rsid w:val="00CD6C5C"/>
    <w:rsid w:val="00D0549F"/>
    <w:rsid w:val="00D90E5F"/>
    <w:rsid w:val="00D94ADF"/>
    <w:rsid w:val="00DA78FD"/>
    <w:rsid w:val="00DB6CB7"/>
    <w:rsid w:val="00E4433B"/>
    <w:rsid w:val="00E54CE8"/>
    <w:rsid w:val="00E54DB6"/>
    <w:rsid w:val="00E874A7"/>
    <w:rsid w:val="00E90182"/>
    <w:rsid w:val="00EC5193"/>
    <w:rsid w:val="00F500A6"/>
    <w:rsid w:val="00FE3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DB56"/>
  <w15:docId w15:val="{55447378-1EB2-43FF-A705-E19FB9C6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C5C"/>
    <w:rPr>
      <w:i/>
      <w:iCs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D6C5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C5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C5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C5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C5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C5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C5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C5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C5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D6C5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Char">
    <w:name w:val="Επικεφαλίδα 2 Char"/>
    <w:basedOn w:val="a0"/>
    <w:link w:val="2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Char">
    <w:name w:val="Επικεφαλίδα 3 Char"/>
    <w:basedOn w:val="a0"/>
    <w:link w:val="3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Char">
    <w:name w:val="Επικεφαλίδα 4 Char"/>
    <w:basedOn w:val="a0"/>
    <w:link w:val="4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Char">
    <w:name w:val="Επικεφαλίδα 8 Char"/>
    <w:basedOn w:val="a0"/>
    <w:link w:val="8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Char">
    <w:name w:val="Επικεφαλίδα 9 Char"/>
    <w:basedOn w:val="a0"/>
    <w:link w:val="9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C5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D6C5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har">
    <w:name w:val="Τίτλος Char"/>
    <w:basedOn w:val="a0"/>
    <w:link w:val="a4"/>
    <w:uiPriority w:val="10"/>
    <w:rsid w:val="00CD6C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Char0"/>
    <w:uiPriority w:val="11"/>
    <w:qFormat/>
    <w:rsid w:val="00CD6C5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CD6C5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6">
    <w:name w:val="Strong"/>
    <w:uiPriority w:val="22"/>
    <w:qFormat/>
    <w:rsid w:val="00CD6C5C"/>
    <w:rPr>
      <w:b/>
      <w:bCs/>
      <w:spacing w:val="0"/>
    </w:rPr>
  </w:style>
  <w:style w:type="character" w:styleId="a7">
    <w:name w:val="Emphasis"/>
    <w:uiPriority w:val="20"/>
    <w:qFormat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8">
    <w:name w:val="No Spacing"/>
    <w:basedOn w:val="a"/>
    <w:uiPriority w:val="1"/>
    <w:qFormat/>
    <w:rsid w:val="00CD6C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D6C5C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D6C5C"/>
    <w:rPr>
      <w:i w:val="0"/>
      <w:iCs w:val="0"/>
      <w:color w:val="943634" w:themeColor="accent2" w:themeShade="BF"/>
    </w:rPr>
  </w:style>
  <w:style w:type="character" w:customStyle="1" w:styleId="Char1">
    <w:name w:val="Απόσπασμα Char"/>
    <w:basedOn w:val="a0"/>
    <w:link w:val="aa"/>
    <w:uiPriority w:val="29"/>
    <w:rsid w:val="00CD6C5C"/>
    <w:rPr>
      <w:color w:val="943634" w:themeColor="accent2" w:themeShade="BF"/>
      <w:sz w:val="20"/>
      <w:szCs w:val="20"/>
    </w:rPr>
  </w:style>
  <w:style w:type="paragraph" w:styleId="ab">
    <w:name w:val="Intense Quote"/>
    <w:basedOn w:val="a"/>
    <w:next w:val="a"/>
    <w:link w:val="Char2"/>
    <w:uiPriority w:val="30"/>
    <w:qFormat/>
    <w:rsid w:val="00CD6C5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har2">
    <w:name w:val="Έντονο απόσπ. Char"/>
    <w:basedOn w:val="a0"/>
    <w:link w:val="ab"/>
    <w:uiPriority w:val="30"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">
    <w:name w:val="Subtle Emphasis"/>
    <w:uiPriority w:val="19"/>
    <w:qFormat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d">
    <w:name w:val="Intense Emphasis"/>
    <w:uiPriority w:val="21"/>
    <w:qFormat/>
    <w:rsid w:val="00CD6C5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e">
    <w:name w:val="Subtle Reference"/>
    <w:uiPriority w:val="31"/>
    <w:qFormat/>
    <w:rsid w:val="00CD6C5C"/>
    <w:rPr>
      <w:i/>
      <w:iCs/>
      <w:smallCaps/>
      <w:color w:val="C0504D" w:themeColor="accent2"/>
      <w:u w:color="C0504D" w:themeColor="accent2"/>
    </w:rPr>
  </w:style>
  <w:style w:type="character" w:styleId="af">
    <w:name w:val="Intense Reference"/>
    <w:uiPriority w:val="32"/>
    <w:qFormat/>
    <w:rsid w:val="00CD6C5C"/>
    <w:rPr>
      <w:b/>
      <w:bCs/>
      <w:i/>
      <w:iCs/>
      <w:smallCaps/>
      <w:color w:val="C0504D" w:themeColor="accent2"/>
      <w:u w:color="C0504D" w:themeColor="accent2"/>
    </w:rPr>
  </w:style>
  <w:style w:type="character" w:styleId="af0">
    <w:name w:val="Book Title"/>
    <w:uiPriority w:val="33"/>
    <w:qFormat/>
    <w:rsid w:val="00CD6C5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CD6C5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40C86-CFF0-453C-A400-1A4397B8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A G</cp:lastModifiedBy>
  <cp:revision>10</cp:revision>
  <dcterms:created xsi:type="dcterms:W3CDTF">2022-11-13T10:59:00Z</dcterms:created>
  <dcterms:modified xsi:type="dcterms:W3CDTF">2022-11-23T10:15:00Z</dcterms:modified>
</cp:coreProperties>
</file>