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62F2E" w14:textId="4B39986A" w:rsidR="00AB639F" w:rsidRDefault="00AB639F" w:rsidP="00AB639F">
      <w:pPr>
        <w:pStyle w:val="a9"/>
        <w:spacing w:after="0" w:line="360" w:lineRule="auto"/>
        <w:rPr>
          <w:rFonts w:ascii="Calibri" w:hAnsi="Calibri" w:cs="Calibri"/>
          <w:b/>
          <w:bCs/>
          <w:u w:val="single"/>
        </w:rPr>
      </w:pPr>
      <w:r w:rsidRPr="0085334E">
        <w:rPr>
          <w:rFonts w:ascii="Calibri" w:hAnsi="Calibri" w:cs="Calibri"/>
          <w:b/>
          <w:bCs/>
          <w:u w:val="single"/>
        </w:rPr>
        <w:t>ΕΝΔΕΙΚΤΙΚΕΣ ΑΠΑΝΤΗΣΕΙΣ</w:t>
      </w:r>
    </w:p>
    <w:p w14:paraId="53FCF12B" w14:textId="77777777" w:rsidR="00AB639F" w:rsidRDefault="00AB639F" w:rsidP="00AB639F">
      <w:pPr>
        <w:pStyle w:val="a9"/>
        <w:spacing w:after="0" w:line="360" w:lineRule="auto"/>
        <w:jc w:val="both"/>
        <w:rPr>
          <w:rFonts w:ascii="Calibri" w:hAnsi="Calibri" w:cs="Calibri"/>
          <w:b/>
          <w:bCs/>
          <w:u w:val="single"/>
          <w:vertAlign w:val="superscript"/>
        </w:rPr>
      </w:pPr>
      <w:r w:rsidRPr="0085334E">
        <w:rPr>
          <w:rFonts w:ascii="Calibri" w:hAnsi="Calibri" w:cs="Calibri"/>
          <w:b/>
          <w:bCs/>
          <w:u w:val="single"/>
        </w:rPr>
        <w:t>Θέμα 2</w:t>
      </w:r>
      <w:r w:rsidRPr="0085334E">
        <w:rPr>
          <w:rFonts w:ascii="Calibri" w:hAnsi="Calibri" w:cs="Calibri"/>
          <w:b/>
          <w:bCs/>
          <w:u w:val="single"/>
          <w:vertAlign w:val="superscript"/>
        </w:rPr>
        <w:t>ο</w:t>
      </w:r>
    </w:p>
    <w:p w14:paraId="29BCE952" w14:textId="1438CD3C" w:rsidR="00AB639F" w:rsidRDefault="00AB639F" w:rsidP="00AB639F">
      <w:pPr>
        <w:pStyle w:val="a9"/>
        <w:spacing w:after="0" w:line="360" w:lineRule="auto"/>
        <w:jc w:val="both"/>
        <w:rPr>
          <w:rFonts w:ascii="Calibri" w:hAnsi="Calibri" w:cs="Calibri"/>
          <w:bCs/>
        </w:rPr>
      </w:pPr>
      <w:r w:rsidRPr="0085334E">
        <w:rPr>
          <w:rFonts w:ascii="Calibri" w:hAnsi="Calibri" w:cs="Calibri"/>
          <w:b/>
          <w:bCs/>
        </w:rPr>
        <w:t>2.1</w:t>
      </w:r>
      <w:r w:rsidR="00063D2E">
        <w:rPr>
          <w:rFonts w:ascii="Calibri" w:hAnsi="Calibri" w:cs="Calibri"/>
          <w:b/>
          <w:bCs/>
        </w:rPr>
        <w:t xml:space="preserve"> </w:t>
      </w:r>
    </w:p>
    <w:p w14:paraId="4673046C" w14:textId="6336322B" w:rsidR="00D52E71" w:rsidRPr="00862981" w:rsidRDefault="00862981" w:rsidP="00AB639F">
      <w:pPr>
        <w:pStyle w:val="a9"/>
        <w:spacing w:after="0" w:line="360" w:lineRule="auto"/>
        <w:jc w:val="both"/>
        <w:rPr>
          <w:rFonts w:ascii="Calibri" w:hAnsi="Calibri" w:cs="Calibri"/>
        </w:rPr>
      </w:pPr>
      <w:r>
        <w:rPr>
          <w:rFonts w:ascii="Calibri" w:hAnsi="Calibri" w:cs="Calibri"/>
          <w:b/>
          <w:bCs/>
        </w:rPr>
        <w:t>1.</w:t>
      </w:r>
      <w:r>
        <w:rPr>
          <w:rFonts w:ascii="Calibri" w:hAnsi="Calibri" w:cs="Calibri"/>
        </w:rPr>
        <w:t xml:space="preserve"> ε</w:t>
      </w:r>
    </w:p>
    <w:p w14:paraId="665D219A" w14:textId="09296E75" w:rsidR="00862981" w:rsidRPr="00862981" w:rsidRDefault="00862981" w:rsidP="00AB639F">
      <w:pPr>
        <w:pStyle w:val="a9"/>
        <w:spacing w:after="0" w:line="360" w:lineRule="auto"/>
        <w:jc w:val="both"/>
        <w:rPr>
          <w:rFonts w:ascii="Calibri" w:hAnsi="Calibri" w:cs="Calibri"/>
        </w:rPr>
      </w:pPr>
      <w:r>
        <w:rPr>
          <w:rFonts w:ascii="Calibri" w:hAnsi="Calibri" w:cs="Calibri"/>
          <w:b/>
          <w:bCs/>
        </w:rPr>
        <w:t>2.</w:t>
      </w:r>
      <w:r>
        <w:rPr>
          <w:rFonts w:ascii="Calibri" w:hAnsi="Calibri" w:cs="Calibri"/>
        </w:rPr>
        <w:t xml:space="preserve"> β</w:t>
      </w:r>
    </w:p>
    <w:p w14:paraId="391A4BD5" w14:textId="1441FCCA" w:rsidR="00862981" w:rsidRPr="00862981" w:rsidRDefault="00862981" w:rsidP="00AB639F">
      <w:pPr>
        <w:pStyle w:val="a9"/>
        <w:spacing w:after="0" w:line="360" w:lineRule="auto"/>
        <w:jc w:val="both"/>
        <w:rPr>
          <w:rFonts w:ascii="Calibri" w:hAnsi="Calibri" w:cs="Calibri"/>
        </w:rPr>
      </w:pPr>
      <w:r>
        <w:rPr>
          <w:rFonts w:ascii="Calibri" w:hAnsi="Calibri" w:cs="Calibri"/>
          <w:b/>
          <w:bCs/>
        </w:rPr>
        <w:t>3.</w:t>
      </w:r>
      <w:r>
        <w:rPr>
          <w:rFonts w:ascii="Calibri" w:hAnsi="Calibri" w:cs="Calibri"/>
        </w:rPr>
        <w:t xml:space="preserve"> </w:t>
      </w:r>
      <w:proofErr w:type="spellStart"/>
      <w:r>
        <w:rPr>
          <w:rFonts w:ascii="Calibri" w:hAnsi="Calibri" w:cs="Calibri"/>
        </w:rPr>
        <w:t>στ</w:t>
      </w:r>
      <w:proofErr w:type="spellEnd"/>
    </w:p>
    <w:p w14:paraId="6239BC25" w14:textId="1F5BC5C8" w:rsidR="00862981" w:rsidRPr="00862981" w:rsidRDefault="00862981" w:rsidP="00AB639F">
      <w:pPr>
        <w:pStyle w:val="a9"/>
        <w:spacing w:after="0" w:line="360" w:lineRule="auto"/>
        <w:jc w:val="both"/>
        <w:rPr>
          <w:rFonts w:ascii="Calibri" w:hAnsi="Calibri" w:cs="Calibri"/>
        </w:rPr>
      </w:pPr>
      <w:r>
        <w:rPr>
          <w:rFonts w:ascii="Calibri" w:hAnsi="Calibri" w:cs="Calibri"/>
          <w:b/>
          <w:bCs/>
        </w:rPr>
        <w:t xml:space="preserve">4. </w:t>
      </w:r>
      <w:r>
        <w:rPr>
          <w:rFonts w:ascii="Calibri" w:hAnsi="Calibri" w:cs="Calibri"/>
        </w:rPr>
        <w:t>δ</w:t>
      </w:r>
    </w:p>
    <w:p w14:paraId="3BC343F1" w14:textId="2C0BB6D5" w:rsidR="00862981" w:rsidRPr="00862981" w:rsidRDefault="00862981" w:rsidP="00AB639F">
      <w:pPr>
        <w:pStyle w:val="a9"/>
        <w:spacing w:after="0" w:line="360" w:lineRule="auto"/>
        <w:jc w:val="both"/>
        <w:rPr>
          <w:rFonts w:ascii="Calibri" w:hAnsi="Calibri" w:cs="Calibri"/>
        </w:rPr>
      </w:pPr>
      <w:r>
        <w:rPr>
          <w:rFonts w:ascii="Calibri" w:hAnsi="Calibri" w:cs="Calibri"/>
          <w:b/>
          <w:bCs/>
        </w:rPr>
        <w:t>5.</w:t>
      </w:r>
      <w:r>
        <w:rPr>
          <w:rFonts w:ascii="Calibri" w:hAnsi="Calibri" w:cs="Calibri"/>
        </w:rPr>
        <w:t xml:space="preserve"> α</w:t>
      </w:r>
    </w:p>
    <w:p w14:paraId="0E3358C1" w14:textId="77777777" w:rsidR="00862981" w:rsidRPr="00D52E71" w:rsidRDefault="00862981" w:rsidP="00AB639F">
      <w:pPr>
        <w:pStyle w:val="a9"/>
        <w:spacing w:after="0" w:line="360" w:lineRule="auto"/>
        <w:jc w:val="both"/>
        <w:rPr>
          <w:rFonts w:ascii="Calibri" w:hAnsi="Calibri" w:cs="Calibri"/>
        </w:rPr>
      </w:pPr>
    </w:p>
    <w:p w14:paraId="270154C9" w14:textId="58D3A874" w:rsidR="00AB639F" w:rsidRDefault="00AB639F" w:rsidP="00AB639F">
      <w:pPr>
        <w:pStyle w:val="a9"/>
        <w:spacing w:after="0" w:line="360" w:lineRule="auto"/>
        <w:jc w:val="both"/>
        <w:rPr>
          <w:rFonts w:asciiTheme="minorHAnsi" w:hAnsiTheme="minorHAnsi" w:cstheme="minorHAnsi"/>
          <w:b/>
          <w:bCs/>
        </w:rPr>
      </w:pPr>
      <w:r w:rsidRPr="00AB639F">
        <w:rPr>
          <w:rFonts w:asciiTheme="minorHAnsi" w:hAnsiTheme="minorHAnsi" w:cstheme="minorHAnsi"/>
          <w:b/>
          <w:bCs/>
        </w:rPr>
        <w:t>2.2</w:t>
      </w:r>
      <w:r w:rsidR="00063D2E">
        <w:rPr>
          <w:rFonts w:asciiTheme="minorHAnsi" w:hAnsiTheme="minorHAnsi" w:cstheme="minorHAnsi"/>
          <w:b/>
          <w:bCs/>
        </w:rPr>
        <w:t xml:space="preserve"> </w:t>
      </w:r>
    </w:p>
    <w:p w14:paraId="6AAFEA01" w14:textId="77777777" w:rsidR="0073336B" w:rsidRDefault="0073336B" w:rsidP="00053557">
      <w:pPr>
        <w:autoSpaceDE w:val="0"/>
        <w:autoSpaceDN w:val="0"/>
        <w:adjustRightInd w:val="0"/>
        <w:spacing w:after="0" w:line="360" w:lineRule="auto"/>
        <w:jc w:val="both"/>
        <w:rPr>
          <w:rFonts w:cstheme="minorHAnsi"/>
          <w:color w:val="000000"/>
          <w:sz w:val="24"/>
        </w:rPr>
      </w:pPr>
      <w:r>
        <w:rPr>
          <w:rFonts w:cstheme="minorHAnsi"/>
          <w:color w:val="000000"/>
          <w:sz w:val="24"/>
        </w:rPr>
        <w:t>Οι βασικές διαφορές ανάμεσα στις μηχανικές και τις υδραυλικές πρέσες είναι:</w:t>
      </w:r>
    </w:p>
    <w:p w14:paraId="04922EB3" w14:textId="7CB5A332" w:rsidR="001F0B40" w:rsidRDefault="0073336B" w:rsidP="00053557">
      <w:pPr>
        <w:pStyle w:val="a3"/>
        <w:numPr>
          <w:ilvl w:val="0"/>
          <w:numId w:val="3"/>
        </w:numPr>
        <w:autoSpaceDE w:val="0"/>
        <w:autoSpaceDN w:val="0"/>
        <w:adjustRightInd w:val="0"/>
        <w:spacing w:after="0" w:line="360" w:lineRule="auto"/>
        <w:jc w:val="both"/>
        <w:rPr>
          <w:rFonts w:cstheme="minorHAnsi"/>
          <w:color w:val="000000"/>
          <w:sz w:val="24"/>
        </w:rPr>
      </w:pPr>
      <w:r>
        <w:rPr>
          <w:rFonts w:cstheme="minorHAnsi"/>
          <w:color w:val="000000"/>
          <w:sz w:val="24"/>
        </w:rPr>
        <w:t>Οι υδραυλικές πρέσες εξασκούν σταθερή δύναμη ανά εμβολισμό, ενώ στις μηχανικές πρέσες η δύναμη εξαρτάται από την εκάστοτε θέση του διωστήρα.</w:t>
      </w:r>
    </w:p>
    <w:p w14:paraId="5F42A747" w14:textId="425DBB8F" w:rsidR="0073336B" w:rsidRDefault="0073336B" w:rsidP="00053557">
      <w:pPr>
        <w:pStyle w:val="a3"/>
        <w:numPr>
          <w:ilvl w:val="0"/>
          <w:numId w:val="3"/>
        </w:numPr>
        <w:autoSpaceDE w:val="0"/>
        <w:autoSpaceDN w:val="0"/>
        <w:adjustRightInd w:val="0"/>
        <w:spacing w:after="0" w:line="360" w:lineRule="auto"/>
        <w:jc w:val="both"/>
        <w:rPr>
          <w:rFonts w:cstheme="minorHAnsi"/>
          <w:color w:val="000000"/>
          <w:sz w:val="24"/>
        </w:rPr>
      </w:pPr>
      <w:r>
        <w:rPr>
          <w:rFonts w:cstheme="minorHAnsi"/>
          <w:color w:val="000000"/>
          <w:sz w:val="24"/>
        </w:rPr>
        <w:t xml:space="preserve">Στις υδραυλικές πρέσες το μήκος εμβολισμού </w:t>
      </w:r>
      <w:r w:rsidR="009753C2">
        <w:rPr>
          <w:rFonts w:cstheme="minorHAnsi"/>
          <w:color w:val="000000"/>
          <w:sz w:val="24"/>
        </w:rPr>
        <w:t>μπορεί</w:t>
      </w:r>
      <w:r>
        <w:rPr>
          <w:rFonts w:cstheme="minorHAnsi"/>
          <w:color w:val="000000"/>
          <w:sz w:val="24"/>
        </w:rPr>
        <w:t xml:space="preserve"> να ορισθεί εύκολα και με ακρίβεια, κάτι που δεν συμβαίνει στις μηχανικές πρέσες.</w:t>
      </w:r>
    </w:p>
    <w:p w14:paraId="4F02E2AA" w14:textId="6E5558CB" w:rsidR="0073336B" w:rsidRDefault="0073336B" w:rsidP="00053557">
      <w:pPr>
        <w:pStyle w:val="a3"/>
        <w:numPr>
          <w:ilvl w:val="0"/>
          <w:numId w:val="3"/>
        </w:numPr>
        <w:autoSpaceDE w:val="0"/>
        <w:autoSpaceDN w:val="0"/>
        <w:adjustRightInd w:val="0"/>
        <w:spacing w:after="0" w:line="360" w:lineRule="auto"/>
        <w:jc w:val="both"/>
        <w:rPr>
          <w:rFonts w:cstheme="minorHAnsi"/>
          <w:color w:val="000000"/>
          <w:sz w:val="24"/>
        </w:rPr>
      </w:pPr>
      <w:r>
        <w:rPr>
          <w:rFonts w:cstheme="minorHAnsi"/>
          <w:color w:val="000000"/>
          <w:sz w:val="24"/>
        </w:rPr>
        <w:t>Η ταχύτητα εμβολισμού στις υδραυλικές πρέσες μπορεί να ορισθεί μέσα σε ένα μεγάλο εύρος, ενώ στις μηχανικές πρέσες περιορίζεται από τον τύπο του κιβωτίου ταχυτήτων.</w:t>
      </w:r>
    </w:p>
    <w:p w14:paraId="5B3C4F1E" w14:textId="1F25DC2F" w:rsidR="0073336B" w:rsidRDefault="0073336B" w:rsidP="00053557">
      <w:pPr>
        <w:pStyle w:val="a3"/>
        <w:numPr>
          <w:ilvl w:val="0"/>
          <w:numId w:val="3"/>
        </w:numPr>
        <w:autoSpaceDE w:val="0"/>
        <w:autoSpaceDN w:val="0"/>
        <w:adjustRightInd w:val="0"/>
        <w:spacing w:after="0" w:line="360" w:lineRule="auto"/>
        <w:jc w:val="both"/>
        <w:rPr>
          <w:rFonts w:cstheme="minorHAnsi"/>
          <w:color w:val="000000"/>
          <w:sz w:val="24"/>
        </w:rPr>
      </w:pPr>
      <w:r>
        <w:rPr>
          <w:rFonts w:cstheme="minorHAnsi"/>
          <w:color w:val="000000"/>
          <w:sz w:val="24"/>
        </w:rPr>
        <w:t xml:space="preserve">Οι </w:t>
      </w:r>
      <w:r w:rsidR="00F9302E">
        <w:rPr>
          <w:rFonts w:cstheme="minorHAnsi"/>
          <w:color w:val="000000"/>
          <w:sz w:val="24"/>
        </w:rPr>
        <w:t>υ</w:t>
      </w:r>
      <w:r>
        <w:rPr>
          <w:rFonts w:cstheme="minorHAnsi"/>
          <w:color w:val="000000"/>
          <w:sz w:val="24"/>
        </w:rPr>
        <w:t xml:space="preserve">δραυλικές πρέσες δεν μπορούν να υπερφορτωθούν και να υποστούν ζημιές. Όταν η δύναμη που </w:t>
      </w:r>
      <w:r w:rsidR="009753C2">
        <w:rPr>
          <w:rFonts w:cstheme="minorHAnsi"/>
          <w:color w:val="000000"/>
          <w:sz w:val="24"/>
        </w:rPr>
        <w:t>εξασκείται</w:t>
      </w:r>
      <w:r>
        <w:rPr>
          <w:rFonts w:cstheme="minorHAnsi"/>
          <w:color w:val="000000"/>
          <w:sz w:val="24"/>
        </w:rPr>
        <w:t xml:space="preserve"> ξεπεράσει μια οριακή τιμή, η υδραυλική πρέσα σταματά, ενώ η μηχανική πρέσα, αν </w:t>
      </w:r>
      <w:r w:rsidR="009753C2">
        <w:rPr>
          <w:rFonts w:cstheme="minorHAnsi"/>
          <w:color w:val="000000"/>
          <w:sz w:val="24"/>
        </w:rPr>
        <w:t>δε διαθέτει ειδική διάταξη για υπερφόρτωση, κινδυνεύει να υποστεί σοβαρές ζημιές.</w:t>
      </w:r>
    </w:p>
    <w:p w14:paraId="5E18145A" w14:textId="0A7CB3B2" w:rsidR="009753C2" w:rsidRDefault="009753C2" w:rsidP="00053557">
      <w:pPr>
        <w:pStyle w:val="a3"/>
        <w:numPr>
          <w:ilvl w:val="0"/>
          <w:numId w:val="3"/>
        </w:numPr>
        <w:autoSpaceDE w:val="0"/>
        <w:autoSpaceDN w:val="0"/>
        <w:adjustRightInd w:val="0"/>
        <w:spacing w:after="0" w:line="360" w:lineRule="auto"/>
        <w:jc w:val="both"/>
        <w:rPr>
          <w:rFonts w:cstheme="minorHAnsi"/>
          <w:color w:val="000000"/>
          <w:sz w:val="24"/>
        </w:rPr>
      </w:pPr>
      <w:r>
        <w:rPr>
          <w:rFonts w:cstheme="minorHAnsi"/>
          <w:color w:val="000000"/>
          <w:sz w:val="24"/>
        </w:rPr>
        <w:t>Οι μηχανικές πρέσες επανέρχονται γρήγορα και είναι καλύτερες για μεγάλη παραγωγικότητα, σε αντίθεση με τις υδραυλικές πρέσες, που παρουσιάζουν καθυστερήσεις.</w:t>
      </w:r>
    </w:p>
    <w:p w14:paraId="6D06709E" w14:textId="086283E1" w:rsidR="00F9302E" w:rsidRDefault="00F9302E" w:rsidP="00053557">
      <w:pPr>
        <w:pStyle w:val="a3"/>
        <w:numPr>
          <w:ilvl w:val="0"/>
          <w:numId w:val="3"/>
        </w:numPr>
        <w:autoSpaceDE w:val="0"/>
        <w:autoSpaceDN w:val="0"/>
        <w:adjustRightInd w:val="0"/>
        <w:spacing w:after="0" w:line="360" w:lineRule="auto"/>
        <w:jc w:val="both"/>
        <w:rPr>
          <w:rFonts w:cstheme="minorHAnsi"/>
          <w:color w:val="000000"/>
          <w:sz w:val="24"/>
        </w:rPr>
      </w:pPr>
      <w:r>
        <w:rPr>
          <w:rFonts w:cstheme="minorHAnsi"/>
          <w:color w:val="000000"/>
          <w:sz w:val="24"/>
        </w:rPr>
        <w:t>Επειδή η μηχανική ενέργεια αποθηκεύεται στο στρόφαλο, οι μηχανικές πρέσες χρησιμοποιούν μικρότερο κινητήρα. Σε αρκετές εφαρμογές το μέγεθος του κινητήρα που απαιτείται για μια υδραυλική πρέσα είναι 2,5 φορές μεγαλύτερο από το αντίστοιχο της ισοδύναμης μηχανικής πρέσας.</w:t>
      </w:r>
    </w:p>
    <w:p w14:paraId="466A0822" w14:textId="412BEBF8" w:rsidR="00F9302E" w:rsidRPr="0073336B" w:rsidRDefault="00053557" w:rsidP="00053557">
      <w:pPr>
        <w:pStyle w:val="a3"/>
        <w:numPr>
          <w:ilvl w:val="0"/>
          <w:numId w:val="3"/>
        </w:numPr>
        <w:autoSpaceDE w:val="0"/>
        <w:autoSpaceDN w:val="0"/>
        <w:adjustRightInd w:val="0"/>
        <w:spacing w:after="0" w:line="360" w:lineRule="auto"/>
        <w:jc w:val="both"/>
        <w:rPr>
          <w:rFonts w:cstheme="minorHAnsi"/>
          <w:color w:val="000000"/>
          <w:sz w:val="24"/>
        </w:rPr>
      </w:pPr>
      <w:r>
        <w:rPr>
          <w:rFonts w:cstheme="minorHAnsi"/>
          <w:color w:val="000000"/>
          <w:sz w:val="24"/>
        </w:rPr>
        <w:t xml:space="preserve">Η ταχύτητα του εμβόλου στις μηχανικές πρέσες είναι μεγαλύτερη, με συνέπεια οι μηχανικές πρέσες να είναι πιο αποδοτικές στην απότμηση και διάτρηση, που </w:t>
      </w:r>
      <w:r>
        <w:rPr>
          <w:rFonts w:cstheme="minorHAnsi"/>
          <w:color w:val="000000"/>
          <w:sz w:val="24"/>
        </w:rPr>
        <w:lastRenderedPageBreak/>
        <w:t xml:space="preserve">απαιτείται ιδιαίτερα μεγάλο κρουστικό φορτίο. Αντίστοιχα, στις υδραυλικές πρέσες παρουσιάζεται ο κίνδυνος, λόγω του μεγάλου κρουστικού φορτίου, να υποστεί βλάβη το υδραυλικό σύστημα. </w:t>
      </w:r>
    </w:p>
    <w:sectPr w:rsidR="00F9302E" w:rsidRPr="0073336B" w:rsidSect="002738B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E00CA" w14:textId="77777777" w:rsidR="0090225D" w:rsidRDefault="0090225D" w:rsidP="00403D93">
      <w:pPr>
        <w:spacing w:after="0" w:line="240" w:lineRule="auto"/>
      </w:pPr>
      <w:r>
        <w:separator/>
      </w:r>
    </w:p>
  </w:endnote>
  <w:endnote w:type="continuationSeparator" w:id="0">
    <w:p w14:paraId="6748115A" w14:textId="77777777" w:rsidR="0090225D" w:rsidRDefault="0090225D" w:rsidP="00403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erif">
    <w:altName w:val="Times New Roman"/>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6B8C3" w14:textId="77777777" w:rsidR="0090225D" w:rsidRDefault="0090225D" w:rsidP="00403D93">
      <w:pPr>
        <w:spacing w:after="0" w:line="240" w:lineRule="auto"/>
      </w:pPr>
      <w:r>
        <w:separator/>
      </w:r>
    </w:p>
  </w:footnote>
  <w:footnote w:type="continuationSeparator" w:id="0">
    <w:p w14:paraId="2D8058FE" w14:textId="77777777" w:rsidR="0090225D" w:rsidRDefault="0090225D" w:rsidP="00403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15824"/>
    <w:multiLevelType w:val="hybridMultilevel"/>
    <w:tmpl w:val="F4E0FF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F3614E"/>
    <w:multiLevelType w:val="hybridMultilevel"/>
    <w:tmpl w:val="F09419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9B01B5C"/>
    <w:multiLevelType w:val="hybridMultilevel"/>
    <w:tmpl w:val="B3DA411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9D"/>
    <w:rsid w:val="00005544"/>
    <w:rsid w:val="00007885"/>
    <w:rsid w:val="00017CDF"/>
    <w:rsid w:val="00022E25"/>
    <w:rsid w:val="000325AD"/>
    <w:rsid w:val="0004186D"/>
    <w:rsid w:val="00047D2F"/>
    <w:rsid w:val="0005092E"/>
    <w:rsid w:val="00053557"/>
    <w:rsid w:val="00063D2E"/>
    <w:rsid w:val="00083CF5"/>
    <w:rsid w:val="000B1961"/>
    <w:rsid w:val="000B3AA4"/>
    <w:rsid w:val="000D0B25"/>
    <w:rsid w:val="000E114C"/>
    <w:rsid w:val="000E383C"/>
    <w:rsid w:val="000E540F"/>
    <w:rsid w:val="00112054"/>
    <w:rsid w:val="00116091"/>
    <w:rsid w:val="0011711C"/>
    <w:rsid w:val="00182B4B"/>
    <w:rsid w:val="00190419"/>
    <w:rsid w:val="001A13F2"/>
    <w:rsid w:val="001B27C8"/>
    <w:rsid w:val="001B5E3E"/>
    <w:rsid w:val="001C18B0"/>
    <w:rsid w:val="001C4DE3"/>
    <w:rsid w:val="001E36F4"/>
    <w:rsid w:val="001F0B40"/>
    <w:rsid w:val="001F4CEB"/>
    <w:rsid w:val="001F7D8B"/>
    <w:rsid w:val="002012AA"/>
    <w:rsid w:val="00204E23"/>
    <w:rsid w:val="00231A35"/>
    <w:rsid w:val="002367BB"/>
    <w:rsid w:val="0024019B"/>
    <w:rsid w:val="00250C62"/>
    <w:rsid w:val="00253290"/>
    <w:rsid w:val="00270BEC"/>
    <w:rsid w:val="002738B5"/>
    <w:rsid w:val="00277454"/>
    <w:rsid w:val="002867FE"/>
    <w:rsid w:val="002919A8"/>
    <w:rsid w:val="002A0FCB"/>
    <w:rsid w:val="002A49F5"/>
    <w:rsid w:val="002B466F"/>
    <w:rsid w:val="002C6B34"/>
    <w:rsid w:val="002E1191"/>
    <w:rsid w:val="002E47FD"/>
    <w:rsid w:val="002E7B24"/>
    <w:rsid w:val="002F19C2"/>
    <w:rsid w:val="00333603"/>
    <w:rsid w:val="00337C35"/>
    <w:rsid w:val="003570C3"/>
    <w:rsid w:val="003641D2"/>
    <w:rsid w:val="00384C78"/>
    <w:rsid w:val="003A1340"/>
    <w:rsid w:val="003C7253"/>
    <w:rsid w:val="003D442B"/>
    <w:rsid w:val="003F0B83"/>
    <w:rsid w:val="003F6460"/>
    <w:rsid w:val="00403D93"/>
    <w:rsid w:val="00411837"/>
    <w:rsid w:val="00432694"/>
    <w:rsid w:val="00446B1B"/>
    <w:rsid w:val="004574C1"/>
    <w:rsid w:val="0047170F"/>
    <w:rsid w:val="004810AE"/>
    <w:rsid w:val="0048458C"/>
    <w:rsid w:val="004A799D"/>
    <w:rsid w:val="004B7DE5"/>
    <w:rsid w:val="004D5F3D"/>
    <w:rsid w:val="004E3846"/>
    <w:rsid w:val="004E3DD8"/>
    <w:rsid w:val="004E6706"/>
    <w:rsid w:val="00500D1F"/>
    <w:rsid w:val="00501129"/>
    <w:rsid w:val="00501C62"/>
    <w:rsid w:val="00511EF6"/>
    <w:rsid w:val="0051405A"/>
    <w:rsid w:val="00527289"/>
    <w:rsid w:val="00527A6A"/>
    <w:rsid w:val="0053262C"/>
    <w:rsid w:val="00546B75"/>
    <w:rsid w:val="00552C08"/>
    <w:rsid w:val="0058446D"/>
    <w:rsid w:val="00585D7E"/>
    <w:rsid w:val="00585FBA"/>
    <w:rsid w:val="005B4F14"/>
    <w:rsid w:val="005D15F0"/>
    <w:rsid w:val="005D725D"/>
    <w:rsid w:val="005F6F66"/>
    <w:rsid w:val="006128DE"/>
    <w:rsid w:val="0062312B"/>
    <w:rsid w:val="00637477"/>
    <w:rsid w:val="00645DEC"/>
    <w:rsid w:val="00661872"/>
    <w:rsid w:val="0066742F"/>
    <w:rsid w:val="006A5E54"/>
    <w:rsid w:val="006B0BE0"/>
    <w:rsid w:val="006B6EF7"/>
    <w:rsid w:val="006C77D1"/>
    <w:rsid w:val="006D2042"/>
    <w:rsid w:val="006D51DC"/>
    <w:rsid w:val="006E1171"/>
    <w:rsid w:val="006E7E66"/>
    <w:rsid w:val="006F09AB"/>
    <w:rsid w:val="00700134"/>
    <w:rsid w:val="007277A3"/>
    <w:rsid w:val="0073336B"/>
    <w:rsid w:val="00740028"/>
    <w:rsid w:val="007513F0"/>
    <w:rsid w:val="00782F2B"/>
    <w:rsid w:val="007836B2"/>
    <w:rsid w:val="00787824"/>
    <w:rsid w:val="007919A9"/>
    <w:rsid w:val="007A0B46"/>
    <w:rsid w:val="007A4EDD"/>
    <w:rsid w:val="007C37A6"/>
    <w:rsid w:val="007D0C23"/>
    <w:rsid w:val="007D36A9"/>
    <w:rsid w:val="007E2037"/>
    <w:rsid w:val="007E37C6"/>
    <w:rsid w:val="007F12EA"/>
    <w:rsid w:val="007F32DF"/>
    <w:rsid w:val="007F39D5"/>
    <w:rsid w:val="008006F0"/>
    <w:rsid w:val="00801B6F"/>
    <w:rsid w:val="00810899"/>
    <w:rsid w:val="008217B6"/>
    <w:rsid w:val="00847716"/>
    <w:rsid w:val="00857DDD"/>
    <w:rsid w:val="00862981"/>
    <w:rsid w:val="008A42D2"/>
    <w:rsid w:val="008A5B70"/>
    <w:rsid w:val="008B183E"/>
    <w:rsid w:val="008C190C"/>
    <w:rsid w:val="008C3129"/>
    <w:rsid w:val="008D0DFD"/>
    <w:rsid w:val="008D4F5D"/>
    <w:rsid w:val="008D5BA0"/>
    <w:rsid w:val="008E5980"/>
    <w:rsid w:val="0090225D"/>
    <w:rsid w:val="009149AE"/>
    <w:rsid w:val="00914C3C"/>
    <w:rsid w:val="009270B9"/>
    <w:rsid w:val="0094091F"/>
    <w:rsid w:val="00946AEC"/>
    <w:rsid w:val="0095305D"/>
    <w:rsid w:val="00956913"/>
    <w:rsid w:val="0096229A"/>
    <w:rsid w:val="009753C2"/>
    <w:rsid w:val="00982CF6"/>
    <w:rsid w:val="0099367E"/>
    <w:rsid w:val="009A0B4F"/>
    <w:rsid w:val="009A4D9F"/>
    <w:rsid w:val="009B577C"/>
    <w:rsid w:val="009B6ECD"/>
    <w:rsid w:val="009C3BAD"/>
    <w:rsid w:val="009E3042"/>
    <w:rsid w:val="00A0158A"/>
    <w:rsid w:val="00A20EC5"/>
    <w:rsid w:val="00A31980"/>
    <w:rsid w:val="00A32125"/>
    <w:rsid w:val="00A41A7C"/>
    <w:rsid w:val="00A423D8"/>
    <w:rsid w:val="00A438CF"/>
    <w:rsid w:val="00A63AEB"/>
    <w:rsid w:val="00A70EF5"/>
    <w:rsid w:val="00A7286A"/>
    <w:rsid w:val="00AA3F61"/>
    <w:rsid w:val="00AB639F"/>
    <w:rsid w:val="00AB6849"/>
    <w:rsid w:val="00AC21F5"/>
    <w:rsid w:val="00AD4924"/>
    <w:rsid w:val="00AE07B8"/>
    <w:rsid w:val="00AE3DBE"/>
    <w:rsid w:val="00B130F4"/>
    <w:rsid w:val="00B13501"/>
    <w:rsid w:val="00B30613"/>
    <w:rsid w:val="00B83ABB"/>
    <w:rsid w:val="00BB3C2A"/>
    <w:rsid w:val="00BB3DAA"/>
    <w:rsid w:val="00BB5EA3"/>
    <w:rsid w:val="00BC51FC"/>
    <w:rsid w:val="00BC6688"/>
    <w:rsid w:val="00BE3063"/>
    <w:rsid w:val="00BF6383"/>
    <w:rsid w:val="00C0079F"/>
    <w:rsid w:val="00C057DE"/>
    <w:rsid w:val="00C32CEB"/>
    <w:rsid w:val="00C40743"/>
    <w:rsid w:val="00C41F5A"/>
    <w:rsid w:val="00C46BB8"/>
    <w:rsid w:val="00C5371F"/>
    <w:rsid w:val="00C752C8"/>
    <w:rsid w:val="00C80063"/>
    <w:rsid w:val="00C9279B"/>
    <w:rsid w:val="00C974FC"/>
    <w:rsid w:val="00CB26EA"/>
    <w:rsid w:val="00CB6ADE"/>
    <w:rsid w:val="00CC15A2"/>
    <w:rsid w:val="00CC48F9"/>
    <w:rsid w:val="00CD0CA2"/>
    <w:rsid w:val="00CE6E0E"/>
    <w:rsid w:val="00D2151A"/>
    <w:rsid w:val="00D33DB3"/>
    <w:rsid w:val="00D34457"/>
    <w:rsid w:val="00D36529"/>
    <w:rsid w:val="00D36D60"/>
    <w:rsid w:val="00D46171"/>
    <w:rsid w:val="00D52E71"/>
    <w:rsid w:val="00D556BE"/>
    <w:rsid w:val="00D56EC2"/>
    <w:rsid w:val="00D60357"/>
    <w:rsid w:val="00D63F9D"/>
    <w:rsid w:val="00D662CC"/>
    <w:rsid w:val="00D7426D"/>
    <w:rsid w:val="00D84681"/>
    <w:rsid w:val="00D96495"/>
    <w:rsid w:val="00DA0DB2"/>
    <w:rsid w:val="00DD2C61"/>
    <w:rsid w:val="00DD4C57"/>
    <w:rsid w:val="00DE507A"/>
    <w:rsid w:val="00E122B4"/>
    <w:rsid w:val="00E202A0"/>
    <w:rsid w:val="00E25598"/>
    <w:rsid w:val="00E444C9"/>
    <w:rsid w:val="00E6489C"/>
    <w:rsid w:val="00E72834"/>
    <w:rsid w:val="00EC1717"/>
    <w:rsid w:val="00EE706B"/>
    <w:rsid w:val="00EF0AEC"/>
    <w:rsid w:val="00F02F7E"/>
    <w:rsid w:val="00F1026A"/>
    <w:rsid w:val="00F3570A"/>
    <w:rsid w:val="00F9302E"/>
    <w:rsid w:val="00FB3C29"/>
    <w:rsid w:val="00FB6F8A"/>
    <w:rsid w:val="00FC15B3"/>
    <w:rsid w:val="00FC591B"/>
    <w:rsid w:val="00FE4D29"/>
    <w:rsid w:val="00FF01FC"/>
    <w:rsid w:val="00FF2649"/>
    <w:rsid w:val="00FF2F6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665E99"/>
  <w15:docId w15:val="{8558E906-B39D-4919-BA91-F38C9AC6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3F9D"/>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0325AD"/>
    <w:pPr>
      <w:ind w:left="720"/>
      <w:contextualSpacing/>
    </w:pPr>
  </w:style>
  <w:style w:type="character" w:styleId="a4">
    <w:name w:val="Placeholder Text"/>
    <w:basedOn w:val="a0"/>
    <w:uiPriority w:val="99"/>
    <w:semiHidden/>
    <w:rsid w:val="00DD4C57"/>
    <w:rPr>
      <w:color w:val="808080"/>
    </w:rPr>
  </w:style>
  <w:style w:type="table" w:styleId="a5">
    <w:name w:val="Table Grid"/>
    <w:basedOn w:val="a1"/>
    <w:uiPriority w:val="39"/>
    <w:rsid w:val="00511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B6EF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6">
    <w:name w:val="Balloon Text"/>
    <w:basedOn w:val="a"/>
    <w:link w:val="Char"/>
    <w:uiPriority w:val="99"/>
    <w:semiHidden/>
    <w:unhideWhenUsed/>
    <w:rsid w:val="00BB3C2A"/>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BB3C2A"/>
    <w:rPr>
      <w:rFonts w:ascii="Tahoma" w:hAnsi="Tahoma" w:cs="Tahoma"/>
      <w:sz w:val="16"/>
      <w:szCs w:val="16"/>
    </w:rPr>
  </w:style>
  <w:style w:type="paragraph" w:styleId="a7">
    <w:name w:val="footnote text"/>
    <w:basedOn w:val="a"/>
    <w:link w:val="Char0"/>
    <w:uiPriority w:val="99"/>
    <w:semiHidden/>
    <w:unhideWhenUsed/>
    <w:rsid w:val="00403D93"/>
    <w:pPr>
      <w:spacing w:after="0" w:line="240" w:lineRule="auto"/>
      <w:jc w:val="both"/>
    </w:pPr>
    <w:rPr>
      <w:sz w:val="20"/>
      <w:szCs w:val="20"/>
    </w:rPr>
  </w:style>
  <w:style w:type="character" w:customStyle="1" w:styleId="Char0">
    <w:name w:val="Κείμενο υποσημείωσης Char"/>
    <w:basedOn w:val="a0"/>
    <w:link w:val="a7"/>
    <w:uiPriority w:val="99"/>
    <w:semiHidden/>
    <w:rsid w:val="00403D93"/>
    <w:rPr>
      <w:sz w:val="20"/>
      <w:szCs w:val="20"/>
    </w:rPr>
  </w:style>
  <w:style w:type="character" w:styleId="a8">
    <w:name w:val="footnote reference"/>
    <w:basedOn w:val="a0"/>
    <w:uiPriority w:val="99"/>
    <w:semiHidden/>
    <w:unhideWhenUsed/>
    <w:rsid w:val="00403D93"/>
    <w:rPr>
      <w:vertAlign w:val="superscript"/>
    </w:rPr>
  </w:style>
  <w:style w:type="paragraph" w:styleId="a9">
    <w:name w:val="Body Text"/>
    <w:basedOn w:val="a"/>
    <w:link w:val="Char1"/>
    <w:rsid w:val="00AB639F"/>
    <w:pPr>
      <w:suppressAutoHyphens/>
      <w:spacing w:after="140" w:line="276" w:lineRule="auto"/>
    </w:pPr>
    <w:rPr>
      <w:rFonts w:ascii="Liberation Serif" w:eastAsia="NSimSun" w:hAnsi="Liberation Serif" w:cs="Arial"/>
      <w:kern w:val="2"/>
      <w:sz w:val="24"/>
      <w:szCs w:val="24"/>
      <w:lang w:eastAsia="zh-CN" w:bidi="hi-IN"/>
    </w:rPr>
  </w:style>
  <w:style w:type="character" w:customStyle="1" w:styleId="Char1">
    <w:name w:val="Σώμα κειμένου Char"/>
    <w:basedOn w:val="a0"/>
    <w:link w:val="a9"/>
    <w:rsid w:val="00AB639F"/>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706506">
      <w:bodyDiv w:val="1"/>
      <w:marLeft w:val="0"/>
      <w:marRight w:val="0"/>
      <w:marTop w:val="0"/>
      <w:marBottom w:val="0"/>
      <w:divBdr>
        <w:top w:val="none" w:sz="0" w:space="0" w:color="auto"/>
        <w:left w:val="none" w:sz="0" w:space="0" w:color="auto"/>
        <w:bottom w:val="none" w:sz="0" w:space="0" w:color="auto"/>
        <w:right w:val="none" w:sz="0" w:space="0" w:color="auto"/>
      </w:divBdr>
    </w:div>
    <w:div w:id="1604876175">
      <w:bodyDiv w:val="1"/>
      <w:marLeft w:val="0"/>
      <w:marRight w:val="0"/>
      <w:marTop w:val="0"/>
      <w:marBottom w:val="0"/>
      <w:divBdr>
        <w:top w:val="none" w:sz="0" w:space="0" w:color="auto"/>
        <w:left w:val="none" w:sz="0" w:space="0" w:color="auto"/>
        <w:bottom w:val="none" w:sz="0" w:space="0" w:color="auto"/>
        <w:right w:val="none" w:sz="0" w:space="0" w:color="auto"/>
      </w:divBdr>
    </w:div>
    <w:div w:id="160669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1357</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ΑΝΘΟΥΛΑ ΣΤΕΡΓΙΟΥ</dc:creator>
  <cp:lastModifiedBy>anthi</cp:lastModifiedBy>
  <cp:revision>4</cp:revision>
  <dcterms:created xsi:type="dcterms:W3CDTF">2022-11-18T11:14:00Z</dcterms:created>
  <dcterms:modified xsi:type="dcterms:W3CDTF">2022-11-22T10:06:00Z</dcterms:modified>
</cp:coreProperties>
</file>