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612B00" w14:textId="55E95A24" w:rsidR="00FB7E44" w:rsidRDefault="00FB7E44" w:rsidP="005038CC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ΕΝΔΕΙΚΤΙΚΕΣ ΑΠΑΝΤΗΣΕΙΣ</w:t>
      </w:r>
    </w:p>
    <w:p w14:paraId="7973F807" w14:textId="77777777" w:rsidR="000F5B88" w:rsidRDefault="000F5B88" w:rsidP="005038CC">
      <w:pPr>
        <w:spacing w:after="0" w:line="360" w:lineRule="auto"/>
        <w:jc w:val="both"/>
        <w:rPr>
          <w:rFonts w:cstheme="minorHAnsi"/>
          <w:b/>
          <w:bCs/>
          <w:color w:val="FF0000"/>
          <w:sz w:val="24"/>
          <w:szCs w:val="24"/>
        </w:rPr>
      </w:pPr>
    </w:p>
    <w:p w14:paraId="643BEA00" w14:textId="241FF7D9" w:rsidR="004F4578" w:rsidRPr="0096123D" w:rsidRDefault="005038CC" w:rsidP="005038CC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  <w:r w:rsidRPr="0096123D">
        <w:rPr>
          <w:rFonts w:cstheme="minorHAnsi"/>
          <w:b/>
          <w:bCs/>
          <w:sz w:val="24"/>
          <w:szCs w:val="24"/>
        </w:rPr>
        <w:t xml:space="preserve">ΘΕΜΑ </w:t>
      </w:r>
      <w:r w:rsidR="00786A8E">
        <w:rPr>
          <w:rFonts w:cstheme="minorHAnsi"/>
          <w:b/>
          <w:bCs/>
          <w:sz w:val="24"/>
          <w:szCs w:val="24"/>
        </w:rPr>
        <w:t>4</w:t>
      </w:r>
      <w:r w:rsidRPr="0096123D">
        <w:rPr>
          <w:rFonts w:cstheme="minorHAnsi"/>
          <w:b/>
          <w:bCs/>
          <w:sz w:val="24"/>
          <w:szCs w:val="24"/>
          <w:vertAlign w:val="superscript"/>
        </w:rPr>
        <w:t>Ο</w:t>
      </w:r>
    </w:p>
    <w:p w14:paraId="590B12A3" w14:textId="77777777" w:rsidR="00FB7E44" w:rsidRDefault="00FB7E44" w:rsidP="005038CC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711E4D80" w14:textId="77777777" w:rsidR="00EB41D4" w:rsidRPr="00326CDC" w:rsidRDefault="002C534B" w:rsidP="00EB41D4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2C534B">
        <w:rPr>
          <w:rFonts w:cstheme="minorHAnsi"/>
          <w:b/>
          <w:bCs/>
          <w:sz w:val="24"/>
          <w:szCs w:val="24"/>
        </w:rPr>
        <w:t>α)</w:t>
      </w:r>
      <w:r>
        <w:rPr>
          <w:rFonts w:cstheme="minorHAnsi"/>
          <w:sz w:val="24"/>
          <w:szCs w:val="24"/>
        </w:rPr>
        <w:t xml:space="preserve"> </w:t>
      </w:r>
      <w:r w:rsidR="00EB41D4" w:rsidRPr="00326CDC">
        <w:rPr>
          <w:rFonts w:cstheme="minorHAnsi"/>
          <w:sz w:val="24"/>
          <w:szCs w:val="24"/>
        </w:rPr>
        <w:t xml:space="preserve">Ο βασικότερος διαχωρισμός </w:t>
      </w:r>
      <w:r w:rsidR="00EB41D4">
        <w:rPr>
          <w:rFonts w:cstheme="minorHAnsi"/>
          <w:sz w:val="24"/>
          <w:szCs w:val="24"/>
        </w:rPr>
        <w:t xml:space="preserve">των μεταφορών </w:t>
      </w:r>
      <w:r w:rsidR="00EB41D4" w:rsidRPr="00326CDC">
        <w:rPr>
          <w:rFonts w:cstheme="minorHAnsi"/>
          <w:sz w:val="24"/>
          <w:szCs w:val="24"/>
        </w:rPr>
        <w:t>γίνεται αναλόγως του τρόπου που αυτές πραγματοποιούνται. Έτσι, προκύπτουν οι εξής περιπτώσεις:</w:t>
      </w:r>
    </w:p>
    <w:p w14:paraId="32900BFB" w14:textId="5B94ACA5" w:rsidR="00EB41D4" w:rsidRPr="001D47D5" w:rsidRDefault="00EB41D4" w:rsidP="001D47D5">
      <w:pPr>
        <w:pStyle w:val="a4"/>
        <w:numPr>
          <w:ilvl w:val="0"/>
          <w:numId w:val="4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1D47D5">
        <w:rPr>
          <w:rFonts w:cstheme="minorHAnsi"/>
          <w:sz w:val="24"/>
          <w:szCs w:val="24"/>
        </w:rPr>
        <w:t>Οδικές μεταφορές: Το χαρακτηριστικότερο μέσο είναι φυσικά το φορτηγό, αλλά εδώ συμπεριλαμβάνονται και μικρότερης δυναμικότητας οχήματα, όπως πχ. τα μηχανάκια που χρησιμοποιούνται για τις ταχυμεταφορές.</w:t>
      </w:r>
    </w:p>
    <w:p w14:paraId="5B2865FD" w14:textId="64C80650" w:rsidR="00EB41D4" w:rsidRPr="001D47D5" w:rsidRDefault="00EB41D4" w:rsidP="001D47D5">
      <w:pPr>
        <w:pStyle w:val="a4"/>
        <w:numPr>
          <w:ilvl w:val="0"/>
          <w:numId w:val="4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1D47D5">
        <w:rPr>
          <w:rFonts w:cstheme="minorHAnsi"/>
          <w:sz w:val="24"/>
          <w:szCs w:val="24"/>
        </w:rPr>
        <w:t>Σιδηροδρομικές μεταφορές: Μεταφορές με χρήση σιδηροδρομικών συρμών. Αυτή η κατηγορία μαζί με την προηγούμενη αποτελούν τις «χερσαίες» (δια ξηράς) μεταφορές.</w:t>
      </w:r>
    </w:p>
    <w:p w14:paraId="37DD7187" w14:textId="399839F9" w:rsidR="00EB41D4" w:rsidRPr="001D47D5" w:rsidRDefault="00EB41D4" w:rsidP="001D47D5">
      <w:pPr>
        <w:pStyle w:val="a4"/>
        <w:numPr>
          <w:ilvl w:val="0"/>
          <w:numId w:val="4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1D47D5">
        <w:rPr>
          <w:rFonts w:cstheme="minorHAnsi"/>
          <w:sz w:val="24"/>
          <w:szCs w:val="24"/>
        </w:rPr>
        <w:t>Θαλάσσιες μεταφορές: Μεταφορές δια θαλάσσης.</w:t>
      </w:r>
    </w:p>
    <w:p w14:paraId="455920FC" w14:textId="48CE3913" w:rsidR="00EB41D4" w:rsidRPr="001D47D5" w:rsidRDefault="00EB41D4" w:rsidP="001D47D5">
      <w:pPr>
        <w:pStyle w:val="a4"/>
        <w:numPr>
          <w:ilvl w:val="0"/>
          <w:numId w:val="4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1D47D5">
        <w:rPr>
          <w:rFonts w:cstheme="minorHAnsi"/>
          <w:sz w:val="24"/>
          <w:szCs w:val="24"/>
        </w:rPr>
        <w:t>Υδάτινες μεταφορές: Αφορά την περίπτωση μεταφορών μέσω ποταμών και λιμνών. Στην Ελλάδα δεν θα συναντήσουμε βέβαια τέτοιες περιπτώσεις, αλλά στην Ευρώπη (και όχι μόνο) οι ποτάμιες μεταφορές αποτελούν διαδεδομένο τρόπο μαζικών μεταφορών.</w:t>
      </w:r>
    </w:p>
    <w:p w14:paraId="07532E54" w14:textId="7A41359F" w:rsidR="00EB41D4" w:rsidRPr="001D47D5" w:rsidRDefault="00EB41D4" w:rsidP="001D47D5">
      <w:pPr>
        <w:pStyle w:val="a4"/>
        <w:numPr>
          <w:ilvl w:val="0"/>
          <w:numId w:val="4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1D47D5">
        <w:rPr>
          <w:rFonts w:cstheme="minorHAnsi"/>
          <w:sz w:val="24"/>
          <w:szCs w:val="24"/>
        </w:rPr>
        <w:t>Αεροπορικές μεταφορές: Μεταφορές δια αέρος, με την χρήση είτε εμπορικών, είτε επιβατικών αεροσκαφών.</w:t>
      </w:r>
    </w:p>
    <w:p w14:paraId="1D250AA2" w14:textId="070796CC" w:rsidR="00EB41D4" w:rsidRPr="001D47D5" w:rsidRDefault="00EB41D4" w:rsidP="001D47D5">
      <w:pPr>
        <w:pStyle w:val="a4"/>
        <w:numPr>
          <w:ilvl w:val="0"/>
          <w:numId w:val="4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1D47D5">
        <w:rPr>
          <w:rFonts w:cstheme="minorHAnsi"/>
          <w:sz w:val="24"/>
          <w:szCs w:val="24"/>
        </w:rPr>
        <w:t xml:space="preserve">Συνδυασμένες μεταφορές: Στην περίπτωση αυτή μία μεταφορά πραγματοποιείται με την χρήση δύο ή περισσοτέρων από τους προαναφερθέντες τρόπους (πχ. φορτηγό και τρένο) ή ακόμα και χρησιμοποιώντας «αρθρωτά» έναν από αυτούς τους τρόπους (πχ. μεταφορά μέχρι κάποιο σημείο με το φορτηγό Α και εν συνεχεία μεταφόρτωση στο φορτηγό Β έως τον τελικό προορισμό). Οι συνδυασμένες μεταφορές μπορεί να γίνονται με συμβατά μέσα (πχ. </w:t>
      </w:r>
      <w:proofErr w:type="spellStart"/>
      <w:r w:rsidRPr="001D47D5">
        <w:rPr>
          <w:rFonts w:cstheme="minorHAnsi"/>
          <w:sz w:val="24"/>
          <w:szCs w:val="24"/>
        </w:rPr>
        <w:t>containers</w:t>
      </w:r>
      <w:proofErr w:type="spellEnd"/>
      <w:r w:rsidRPr="001D47D5">
        <w:rPr>
          <w:rFonts w:cstheme="minorHAnsi"/>
          <w:sz w:val="24"/>
          <w:szCs w:val="24"/>
        </w:rPr>
        <w:t>), είτε όχι.</w:t>
      </w:r>
    </w:p>
    <w:p w14:paraId="3115B295" w14:textId="30F80753" w:rsidR="00EB41D4" w:rsidRPr="001D47D5" w:rsidRDefault="00EB41D4" w:rsidP="001D47D5">
      <w:pPr>
        <w:pStyle w:val="a4"/>
        <w:numPr>
          <w:ilvl w:val="0"/>
          <w:numId w:val="4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1D47D5">
        <w:rPr>
          <w:rFonts w:cstheme="minorHAnsi"/>
          <w:sz w:val="24"/>
          <w:szCs w:val="24"/>
        </w:rPr>
        <w:t>Μεταφορά με αγωγούς: Αποτελεί ειδική περίπτωση μεταφοράς πολύ συγκεκριμένων ειδών, όπως είναι το νερό, το φυσικό αέριο κλπ.</w:t>
      </w:r>
    </w:p>
    <w:p w14:paraId="1ADF804D" w14:textId="2870CDC8" w:rsidR="00D76B63" w:rsidRDefault="00D76B63" w:rsidP="00EB41D4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1FD74167" w14:textId="77777777" w:rsidR="00EB41D4" w:rsidRPr="000E6EF1" w:rsidRDefault="002C534B" w:rsidP="00EB41D4">
      <w:pPr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β</w:t>
      </w:r>
      <w:r w:rsidRPr="002C534B">
        <w:rPr>
          <w:rFonts w:cstheme="minorHAnsi"/>
          <w:b/>
          <w:bCs/>
          <w:sz w:val="24"/>
          <w:szCs w:val="24"/>
        </w:rPr>
        <w:t>)</w:t>
      </w:r>
      <w:r>
        <w:rPr>
          <w:rFonts w:cstheme="minorHAnsi"/>
          <w:sz w:val="24"/>
          <w:szCs w:val="24"/>
        </w:rPr>
        <w:t xml:space="preserve"> </w:t>
      </w:r>
      <w:r w:rsidR="00EB41D4" w:rsidRPr="000E6EF1">
        <w:rPr>
          <w:rFonts w:cstheme="minorHAnsi"/>
          <w:sz w:val="24"/>
          <w:szCs w:val="24"/>
        </w:rPr>
        <w:t>Στην περίπτωση (κυρίως) των φορτηγών και των εμπορευματοκιβωτίων άλλη μία κατηγοριοποίηση φορτίων που έχει πολύ μεγάλη σημασία για την επιλογή μεταφορικού</w:t>
      </w:r>
      <w:r w:rsidR="00EB41D4">
        <w:rPr>
          <w:rFonts w:cstheme="minorHAnsi"/>
          <w:sz w:val="24"/>
          <w:szCs w:val="24"/>
        </w:rPr>
        <w:t xml:space="preserve"> </w:t>
      </w:r>
      <w:r w:rsidR="00EB41D4" w:rsidRPr="000E6EF1">
        <w:rPr>
          <w:rFonts w:cstheme="minorHAnsi"/>
          <w:sz w:val="24"/>
          <w:szCs w:val="24"/>
        </w:rPr>
        <w:t xml:space="preserve">μέσου, τον τρόπο συσκευασίας τους, το κόστος μεταφοράς, την ασφάλειά τους </w:t>
      </w:r>
      <w:proofErr w:type="spellStart"/>
      <w:r w:rsidR="00EB41D4" w:rsidRPr="000E6EF1">
        <w:rPr>
          <w:rFonts w:cstheme="minorHAnsi"/>
          <w:sz w:val="24"/>
          <w:szCs w:val="24"/>
        </w:rPr>
        <w:t>κλπ</w:t>
      </w:r>
      <w:proofErr w:type="spellEnd"/>
      <w:r w:rsidR="00EB41D4" w:rsidRPr="000E6EF1">
        <w:rPr>
          <w:rFonts w:cstheme="minorHAnsi"/>
          <w:sz w:val="24"/>
          <w:szCs w:val="24"/>
        </w:rPr>
        <w:t>, είναι ο όγκος της μεταφερόμενης ποσότητας σε σχέση με το μεταφορικό μέσο.</w:t>
      </w:r>
    </w:p>
    <w:p w14:paraId="1FF4DF11" w14:textId="15DA9C8E" w:rsidR="00EB41D4" w:rsidRPr="000E6EF1" w:rsidRDefault="00EB41D4" w:rsidP="00EB41D4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0E6EF1">
        <w:rPr>
          <w:rFonts w:cstheme="minorHAnsi"/>
          <w:sz w:val="24"/>
          <w:szCs w:val="24"/>
        </w:rPr>
        <w:lastRenderedPageBreak/>
        <w:t>Έτσι θα συναντήσουμε τις περιπτώσεις:</w:t>
      </w:r>
    </w:p>
    <w:p w14:paraId="101E5011" w14:textId="77777777" w:rsidR="00EB41D4" w:rsidRPr="000E6EF1" w:rsidRDefault="00EB41D4" w:rsidP="001D47D5">
      <w:pPr>
        <w:pStyle w:val="a4"/>
        <w:numPr>
          <w:ilvl w:val="0"/>
          <w:numId w:val="6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0E6EF1">
        <w:rPr>
          <w:rFonts w:cstheme="minorHAnsi"/>
          <w:sz w:val="24"/>
          <w:szCs w:val="24"/>
        </w:rPr>
        <w:t>FTL (</w:t>
      </w:r>
      <w:proofErr w:type="spellStart"/>
      <w:r w:rsidRPr="000E6EF1">
        <w:rPr>
          <w:rFonts w:cstheme="minorHAnsi"/>
          <w:sz w:val="24"/>
          <w:szCs w:val="24"/>
        </w:rPr>
        <w:t>Full</w:t>
      </w:r>
      <w:proofErr w:type="spellEnd"/>
      <w:r w:rsidRPr="000E6EF1">
        <w:rPr>
          <w:rFonts w:cstheme="minorHAnsi"/>
          <w:sz w:val="24"/>
          <w:szCs w:val="24"/>
        </w:rPr>
        <w:t xml:space="preserve"> </w:t>
      </w:r>
      <w:proofErr w:type="spellStart"/>
      <w:r w:rsidRPr="000E6EF1">
        <w:rPr>
          <w:rFonts w:cstheme="minorHAnsi"/>
          <w:sz w:val="24"/>
          <w:szCs w:val="24"/>
        </w:rPr>
        <w:t>Truck</w:t>
      </w:r>
      <w:proofErr w:type="spellEnd"/>
      <w:r w:rsidRPr="000E6EF1">
        <w:rPr>
          <w:rFonts w:cstheme="minorHAnsi"/>
          <w:sz w:val="24"/>
          <w:szCs w:val="24"/>
        </w:rPr>
        <w:t xml:space="preserve"> </w:t>
      </w:r>
      <w:proofErr w:type="spellStart"/>
      <w:r w:rsidRPr="000E6EF1">
        <w:rPr>
          <w:rFonts w:cstheme="minorHAnsi"/>
          <w:sz w:val="24"/>
          <w:szCs w:val="24"/>
        </w:rPr>
        <w:t>Load</w:t>
      </w:r>
      <w:proofErr w:type="spellEnd"/>
      <w:r w:rsidRPr="000E6EF1">
        <w:rPr>
          <w:rFonts w:cstheme="minorHAnsi"/>
          <w:sz w:val="24"/>
          <w:szCs w:val="24"/>
        </w:rPr>
        <w:t xml:space="preserve">): Ποσότητα που γεμίζει πλήρως ένα φορτηγό, συνήθως </w:t>
      </w:r>
      <w:proofErr w:type="spellStart"/>
      <w:r w:rsidRPr="000E6EF1">
        <w:rPr>
          <w:rFonts w:cstheme="minorHAnsi"/>
          <w:sz w:val="24"/>
          <w:szCs w:val="24"/>
        </w:rPr>
        <w:t>επικαθήμενο</w:t>
      </w:r>
      <w:proofErr w:type="spellEnd"/>
      <w:r w:rsidRPr="000E6EF1">
        <w:rPr>
          <w:rFonts w:cstheme="minorHAnsi"/>
          <w:sz w:val="24"/>
          <w:szCs w:val="24"/>
        </w:rPr>
        <w:t>.</w:t>
      </w:r>
    </w:p>
    <w:p w14:paraId="75F25B30" w14:textId="113D630E" w:rsidR="00EB41D4" w:rsidRPr="000E6EF1" w:rsidRDefault="00EB41D4" w:rsidP="001D47D5">
      <w:pPr>
        <w:pStyle w:val="a4"/>
        <w:numPr>
          <w:ilvl w:val="0"/>
          <w:numId w:val="6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0E6EF1">
        <w:rPr>
          <w:rFonts w:cstheme="minorHAnsi"/>
          <w:sz w:val="24"/>
          <w:szCs w:val="24"/>
        </w:rPr>
        <w:t>LTL (</w:t>
      </w:r>
      <w:proofErr w:type="spellStart"/>
      <w:r w:rsidRPr="000E6EF1">
        <w:rPr>
          <w:rFonts w:cstheme="minorHAnsi"/>
          <w:sz w:val="24"/>
          <w:szCs w:val="24"/>
        </w:rPr>
        <w:t>Less</w:t>
      </w:r>
      <w:proofErr w:type="spellEnd"/>
      <w:r w:rsidRPr="000E6EF1">
        <w:rPr>
          <w:rFonts w:cstheme="minorHAnsi"/>
          <w:sz w:val="24"/>
          <w:szCs w:val="24"/>
        </w:rPr>
        <w:t xml:space="preserve"> </w:t>
      </w:r>
      <w:proofErr w:type="spellStart"/>
      <w:r w:rsidRPr="000E6EF1">
        <w:rPr>
          <w:rFonts w:cstheme="minorHAnsi"/>
          <w:sz w:val="24"/>
          <w:szCs w:val="24"/>
        </w:rPr>
        <w:t>Truck</w:t>
      </w:r>
      <w:proofErr w:type="spellEnd"/>
      <w:r w:rsidRPr="000E6EF1">
        <w:rPr>
          <w:rFonts w:cstheme="minorHAnsi"/>
          <w:sz w:val="24"/>
          <w:szCs w:val="24"/>
        </w:rPr>
        <w:t xml:space="preserve"> </w:t>
      </w:r>
      <w:proofErr w:type="spellStart"/>
      <w:r w:rsidRPr="000E6EF1">
        <w:rPr>
          <w:rFonts w:cstheme="minorHAnsi"/>
          <w:sz w:val="24"/>
          <w:szCs w:val="24"/>
        </w:rPr>
        <w:t>Load</w:t>
      </w:r>
      <w:proofErr w:type="spellEnd"/>
      <w:r w:rsidRPr="000E6EF1">
        <w:rPr>
          <w:rFonts w:cstheme="minorHAnsi"/>
          <w:sz w:val="24"/>
          <w:szCs w:val="24"/>
        </w:rPr>
        <w:t xml:space="preserve">): Ποσότητα που </w:t>
      </w:r>
      <w:r w:rsidR="002B3B05">
        <w:rPr>
          <w:rFonts w:cstheme="minorHAnsi"/>
          <w:sz w:val="24"/>
          <w:szCs w:val="24"/>
        </w:rPr>
        <w:t>δεν</w:t>
      </w:r>
      <w:r w:rsidRPr="000E6EF1">
        <w:rPr>
          <w:rFonts w:cstheme="minorHAnsi"/>
          <w:sz w:val="24"/>
          <w:szCs w:val="24"/>
        </w:rPr>
        <w:t xml:space="preserve"> γεμίζει πλήρως ένα φορτηγό, αλλά πραγματοποιείται </w:t>
      </w:r>
      <w:proofErr w:type="spellStart"/>
      <w:r w:rsidRPr="000E6EF1">
        <w:rPr>
          <w:rFonts w:cstheme="minorHAnsi"/>
          <w:sz w:val="24"/>
          <w:szCs w:val="24"/>
        </w:rPr>
        <w:t>συμφόρτωση</w:t>
      </w:r>
      <w:proofErr w:type="spellEnd"/>
      <w:r w:rsidRPr="000E6EF1">
        <w:rPr>
          <w:rFonts w:cstheme="minorHAnsi"/>
          <w:sz w:val="24"/>
          <w:szCs w:val="24"/>
        </w:rPr>
        <w:t xml:space="preserve"> και μεταφορά μαζί με </w:t>
      </w:r>
      <w:proofErr w:type="spellStart"/>
      <w:r w:rsidRPr="000E6EF1">
        <w:rPr>
          <w:rFonts w:cstheme="minorHAnsi"/>
          <w:sz w:val="24"/>
          <w:szCs w:val="24"/>
        </w:rPr>
        <w:t>μικροποσότητες</w:t>
      </w:r>
      <w:proofErr w:type="spellEnd"/>
      <w:r w:rsidRPr="000E6EF1">
        <w:rPr>
          <w:rFonts w:cstheme="minorHAnsi"/>
          <w:sz w:val="24"/>
          <w:szCs w:val="24"/>
        </w:rPr>
        <w:t xml:space="preserve"> φορτίων που ανήκουν σε άλλους αποστολείς / παραλήπτες.</w:t>
      </w:r>
    </w:p>
    <w:p w14:paraId="6DA1376C" w14:textId="77777777" w:rsidR="00EB41D4" w:rsidRPr="000E6EF1" w:rsidRDefault="00EB41D4" w:rsidP="001D47D5">
      <w:pPr>
        <w:pStyle w:val="a4"/>
        <w:numPr>
          <w:ilvl w:val="0"/>
          <w:numId w:val="6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0E6EF1">
        <w:rPr>
          <w:rFonts w:cstheme="minorHAnsi"/>
          <w:sz w:val="24"/>
          <w:szCs w:val="24"/>
        </w:rPr>
        <w:t>FCL (</w:t>
      </w:r>
      <w:proofErr w:type="spellStart"/>
      <w:r w:rsidRPr="000E6EF1">
        <w:rPr>
          <w:rFonts w:cstheme="minorHAnsi"/>
          <w:sz w:val="24"/>
          <w:szCs w:val="24"/>
        </w:rPr>
        <w:t>Full</w:t>
      </w:r>
      <w:proofErr w:type="spellEnd"/>
      <w:r w:rsidRPr="000E6EF1">
        <w:rPr>
          <w:rFonts w:cstheme="minorHAnsi"/>
          <w:sz w:val="24"/>
          <w:szCs w:val="24"/>
        </w:rPr>
        <w:t xml:space="preserve"> </w:t>
      </w:r>
      <w:proofErr w:type="spellStart"/>
      <w:r w:rsidRPr="000E6EF1">
        <w:rPr>
          <w:rFonts w:cstheme="minorHAnsi"/>
          <w:sz w:val="24"/>
          <w:szCs w:val="24"/>
        </w:rPr>
        <w:t>Container</w:t>
      </w:r>
      <w:proofErr w:type="spellEnd"/>
      <w:r w:rsidRPr="000E6EF1">
        <w:rPr>
          <w:rFonts w:cstheme="minorHAnsi"/>
          <w:sz w:val="24"/>
          <w:szCs w:val="24"/>
        </w:rPr>
        <w:t xml:space="preserve"> </w:t>
      </w:r>
      <w:proofErr w:type="spellStart"/>
      <w:r w:rsidRPr="000E6EF1">
        <w:rPr>
          <w:rFonts w:cstheme="minorHAnsi"/>
          <w:sz w:val="24"/>
          <w:szCs w:val="24"/>
        </w:rPr>
        <w:t>Load</w:t>
      </w:r>
      <w:proofErr w:type="spellEnd"/>
      <w:r w:rsidRPr="000E6EF1">
        <w:rPr>
          <w:rFonts w:cstheme="minorHAnsi"/>
          <w:sz w:val="24"/>
          <w:szCs w:val="24"/>
        </w:rPr>
        <w:t xml:space="preserve">): Ποσότητα που γεμίζει πλήρως ένα </w:t>
      </w:r>
      <w:proofErr w:type="spellStart"/>
      <w:r w:rsidRPr="000E6EF1">
        <w:rPr>
          <w:rFonts w:cstheme="minorHAnsi"/>
          <w:sz w:val="24"/>
          <w:szCs w:val="24"/>
        </w:rPr>
        <w:t>container</w:t>
      </w:r>
      <w:proofErr w:type="spellEnd"/>
      <w:r w:rsidRPr="000E6EF1">
        <w:rPr>
          <w:rFonts w:cstheme="minorHAnsi"/>
          <w:sz w:val="24"/>
          <w:szCs w:val="24"/>
        </w:rPr>
        <w:t>, ανεξαρτήτως μεγέθους και τύπου.</w:t>
      </w:r>
    </w:p>
    <w:p w14:paraId="5CD81528" w14:textId="4B83C2E8" w:rsidR="00EB41D4" w:rsidRPr="000E6EF1" w:rsidRDefault="00EB41D4" w:rsidP="001D47D5">
      <w:pPr>
        <w:pStyle w:val="a4"/>
        <w:numPr>
          <w:ilvl w:val="0"/>
          <w:numId w:val="6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0E6EF1">
        <w:rPr>
          <w:rFonts w:cstheme="minorHAnsi"/>
          <w:sz w:val="24"/>
          <w:szCs w:val="24"/>
        </w:rPr>
        <w:t>LCL (</w:t>
      </w:r>
      <w:proofErr w:type="spellStart"/>
      <w:r w:rsidRPr="000E6EF1">
        <w:rPr>
          <w:rFonts w:cstheme="minorHAnsi"/>
          <w:sz w:val="24"/>
          <w:szCs w:val="24"/>
        </w:rPr>
        <w:t>Less</w:t>
      </w:r>
      <w:proofErr w:type="spellEnd"/>
      <w:r w:rsidRPr="000E6EF1">
        <w:rPr>
          <w:rFonts w:cstheme="minorHAnsi"/>
          <w:sz w:val="24"/>
          <w:szCs w:val="24"/>
        </w:rPr>
        <w:t xml:space="preserve"> </w:t>
      </w:r>
      <w:proofErr w:type="spellStart"/>
      <w:r w:rsidRPr="000E6EF1">
        <w:rPr>
          <w:rFonts w:cstheme="minorHAnsi"/>
          <w:sz w:val="24"/>
          <w:szCs w:val="24"/>
        </w:rPr>
        <w:t>Container</w:t>
      </w:r>
      <w:proofErr w:type="spellEnd"/>
      <w:r w:rsidRPr="000E6EF1">
        <w:rPr>
          <w:rFonts w:cstheme="minorHAnsi"/>
          <w:sz w:val="24"/>
          <w:szCs w:val="24"/>
        </w:rPr>
        <w:t xml:space="preserve"> </w:t>
      </w:r>
      <w:proofErr w:type="spellStart"/>
      <w:r w:rsidRPr="000E6EF1">
        <w:rPr>
          <w:rFonts w:cstheme="minorHAnsi"/>
          <w:sz w:val="24"/>
          <w:szCs w:val="24"/>
        </w:rPr>
        <w:t>Load</w:t>
      </w:r>
      <w:proofErr w:type="spellEnd"/>
      <w:r w:rsidRPr="000E6EF1">
        <w:rPr>
          <w:rFonts w:cstheme="minorHAnsi"/>
          <w:sz w:val="24"/>
          <w:szCs w:val="24"/>
        </w:rPr>
        <w:t xml:space="preserve">): Ποσότητα που </w:t>
      </w:r>
      <w:r w:rsidR="002B3B05">
        <w:rPr>
          <w:rFonts w:cstheme="minorHAnsi"/>
          <w:sz w:val="24"/>
          <w:szCs w:val="24"/>
        </w:rPr>
        <w:t>δεν</w:t>
      </w:r>
      <w:r w:rsidRPr="000E6EF1">
        <w:rPr>
          <w:rFonts w:cstheme="minorHAnsi"/>
          <w:sz w:val="24"/>
          <w:szCs w:val="24"/>
        </w:rPr>
        <w:t xml:space="preserve"> γεμίζει ένα </w:t>
      </w:r>
      <w:proofErr w:type="spellStart"/>
      <w:r w:rsidRPr="000E6EF1">
        <w:rPr>
          <w:rFonts w:cstheme="minorHAnsi"/>
          <w:sz w:val="24"/>
          <w:szCs w:val="24"/>
        </w:rPr>
        <w:t>container</w:t>
      </w:r>
      <w:proofErr w:type="spellEnd"/>
      <w:r w:rsidRPr="000E6EF1">
        <w:rPr>
          <w:rFonts w:cstheme="minorHAnsi"/>
          <w:sz w:val="24"/>
          <w:szCs w:val="24"/>
        </w:rPr>
        <w:t xml:space="preserve">, αλλά πραγματοποιείται </w:t>
      </w:r>
      <w:proofErr w:type="spellStart"/>
      <w:r w:rsidRPr="000E6EF1">
        <w:rPr>
          <w:rFonts w:cstheme="minorHAnsi"/>
          <w:sz w:val="24"/>
          <w:szCs w:val="24"/>
        </w:rPr>
        <w:t>συμφόρτωση</w:t>
      </w:r>
      <w:proofErr w:type="spellEnd"/>
      <w:r w:rsidRPr="000E6EF1">
        <w:rPr>
          <w:rFonts w:cstheme="minorHAnsi"/>
          <w:sz w:val="24"/>
          <w:szCs w:val="24"/>
        </w:rPr>
        <w:t xml:space="preserve"> και μεταφορά μαζί με </w:t>
      </w:r>
      <w:proofErr w:type="spellStart"/>
      <w:r w:rsidRPr="000E6EF1">
        <w:rPr>
          <w:rFonts w:cstheme="minorHAnsi"/>
          <w:sz w:val="24"/>
          <w:szCs w:val="24"/>
        </w:rPr>
        <w:t>μικροποσότητες</w:t>
      </w:r>
      <w:proofErr w:type="spellEnd"/>
      <w:r w:rsidRPr="000E6EF1">
        <w:rPr>
          <w:rFonts w:cstheme="minorHAnsi"/>
          <w:sz w:val="24"/>
          <w:szCs w:val="24"/>
        </w:rPr>
        <w:t xml:space="preserve"> φορτίων που ανήκουν σε άλλους αποστολείς / παραλήπτες.</w:t>
      </w:r>
    </w:p>
    <w:p w14:paraId="08A37221" w14:textId="68B08129" w:rsidR="00D76B63" w:rsidRPr="002C534B" w:rsidRDefault="00D76B63" w:rsidP="00EB41D4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sectPr w:rsidR="00D76B63" w:rsidRPr="002C534B" w:rsidSect="005038CC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995FEA"/>
    <w:multiLevelType w:val="hybridMultilevel"/>
    <w:tmpl w:val="0EC852E8"/>
    <w:lvl w:ilvl="0" w:tplc="F79A833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464563"/>
    <w:multiLevelType w:val="hybridMultilevel"/>
    <w:tmpl w:val="46D279C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FD3D34"/>
    <w:multiLevelType w:val="hybridMultilevel"/>
    <w:tmpl w:val="4328AEC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B183464"/>
    <w:multiLevelType w:val="hybridMultilevel"/>
    <w:tmpl w:val="43F22140"/>
    <w:lvl w:ilvl="0" w:tplc="0408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9E2300E"/>
    <w:multiLevelType w:val="hybridMultilevel"/>
    <w:tmpl w:val="7232804A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EB00636"/>
    <w:multiLevelType w:val="hybridMultilevel"/>
    <w:tmpl w:val="F33E4E1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70708150">
    <w:abstractNumId w:val="1"/>
  </w:num>
  <w:num w:numId="2" w16cid:durableId="1409422282">
    <w:abstractNumId w:val="2"/>
  </w:num>
  <w:num w:numId="3" w16cid:durableId="1459760166">
    <w:abstractNumId w:val="5"/>
  </w:num>
  <w:num w:numId="4" w16cid:durableId="1518229856">
    <w:abstractNumId w:val="4"/>
  </w:num>
  <w:num w:numId="5" w16cid:durableId="755905275">
    <w:abstractNumId w:val="0"/>
  </w:num>
  <w:num w:numId="6" w16cid:durableId="66625045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6115"/>
    <w:rsid w:val="00034FAB"/>
    <w:rsid w:val="000F5B88"/>
    <w:rsid w:val="001D47D5"/>
    <w:rsid w:val="002B3B05"/>
    <w:rsid w:val="002C534B"/>
    <w:rsid w:val="003115BC"/>
    <w:rsid w:val="0032412E"/>
    <w:rsid w:val="003C3C77"/>
    <w:rsid w:val="004F4578"/>
    <w:rsid w:val="005038CC"/>
    <w:rsid w:val="00576914"/>
    <w:rsid w:val="006337D7"/>
    <w:rsid w:val="00786A8E"/>
    <w:rsid w:val="00847C8B"/>
    <w:rsid w:val="008C2057"/>
    <w:rsid w:val="008C6115"/>
    <w:rsid w:val="008D0F0D"/>
    <w:rsid w:val="00915D4B"/>
    <w:rsid w:val="0096123D"/>
    <w:rsid w:val="00A313C4"/>
    <w:rsid w:val="00BB22AC"/>
    <w:rsid w:val="00C12985"/>
    <w:rsid w:val="00C5361D"/>
    <w:rsid w:val="00C67933"/>
    <w:rsid w:val="00CB184B"/>
    <w:rsid w:val="00D13C1B"/>
    <w:rsid w:val="00D53041"/>
    <w:rsid w:val="00D76B63"/>
    <w:rsid w:val="00DA0DEB"/>
    <w:rsid w:val="00EB41D4"/>
    <w:rsid w:val="00EF6A8E"/>
    <w:rsid w:val="00F011A9"/>
    <w:rsid w:val="00F07DDF"/>
    <w:rsid w:val="00F80291"/>
    <w:rsid w:val="00FB7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4DDE57"/>
  <w15:chartTrackingRefBased/>
  <w15:docId w15:val="{5C099D34-ED15-4C2B-AA29-2671DE2FFE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679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34F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2</Pages>
  <Words>374</Words>
  <Characters>2021</Characters>
  <Application>Microsoft Office Word</Application>
  <DocSecurity>0</DocSecurity>
  <Lines>16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ΠΡΕΝΤΖΑΣ  ΠΑΝΑΓΙΩΤΗΣ</dc:creator>
  <cp:keywords/>
  <dc:description/>
  <cp:lastModifiedBy>ΠΡΕΝΤΖΑΣ  ΠΑΝΑΓΙΩΤΗΣ</cp:lastModifiedBy>
  <cp:revision>22</cp:revision>
  <dcterms:created xsi:type="dcterms:W3CDTF">2022-09-13T08:11:00Z</dcterms:created>
  <dcterms:modified xsi:type="dcterms:W3CDTF">2023-04-08T18:22:00Z</dcterms:modified>
</cp:coreProperties>
</file>