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4207141E" w14:textId="77777777" w:rsidR="003C429E" w:rsidRDefault="003C429E" w:rsidP="005038CC">
      <w:pPr>
        <w:spacing w:after="0"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643BEA00" w14:textId="07DCF09B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786A8E">
        <w:rPr>
          <w:rFonts w:cstheme="minorHAnsi"/>
          <w:b/>
          <w:bCs/>
          <w:sz w:val="24"/>
          <w:szCs w:val="24"/>
        </w:rPr>
        <w:t>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90B12A3" w14:textId="77777777" w:rsidR="00FB7E44" w:rsidRDefault="00FB7E44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8DA041F" w14:textId="77777777" w:rsidR="002C534B" w:rsidRDefault="002C534B" w:rsidP="00786A8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786A8E" w:rsidRPr="00786A8E">
        <w:rPr>
          <w:rFonts w:cstheme="minorHAnsi"/>
          <w:sz w:val="24"/>
          <w:szCs w:val="24"/>
        </w:rPr>
        <w:t>Οι</w:t>
      </w:r>
      <w:r>
        <w:rPr>
          <w:rFonts w:cstheme="minorHAnsi"/>
          <w:sz w:val="24"/>
          <w:szCs w:val="24"/>
        </w:rPr>
        <w:t xml:space="preserve"> κατηγορίες των συνδυασμένων μεταφορών είναι:</w:t>
      </w:r>
    </w:p>
    <w:p w14:paraId="456CB02C" w14:textId="1DA79114" w:rsidR="002C534B" w:rsidRPr="002C534B" w:rsidRDefault="00ED4C53" w:rsidP="002C534B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lang w:val="en-US"/>
        </w:rPr>
        <w:t>i</w:t>
      </w:r>
      <w:proofErr w:type="spellEnd"/>
      <w:r w:rsidRPr="00ED4C53">
        <w:rPr>
          <w:rFonts w:cstheme="minorHAnsi"/>
          <w:sz w:val="24"/>
          <w:szCs w:val="24"/>
        </w:rPr>
        <w:t xml:space="preserve">) </w:t>
      </w:r>
      <w:proofErr w:type="spellStart"/>
      <w:r w:rsidR="002C534B" w:rsidRPr="002C534B">
        <w:rPr>
          <w:rFonts w:cstheme="minorHAnsi"/>
          <w:sz w:val="24"/>
          <w:szCs w:val="24"/>
        </w:rPr>
        <w:t>Πολυτροπικές</w:t>
      </w:r>
      <w:proofErr w:type="spellEnd"/>
      <w:r w:rsidR="002C534B" w:rsidRPr="002C534B">
        <w:rPr>
          <w:rFonts w:cstheme="minorHAnsi"/>
          <w:sz w:val="24"/>
          <w:szCs w:val="24"/>
        </w:rPr>
        <w:t xml:space="preserve"> μεταφορές (</w:t>
      </w:r>
      <w:proofErr w:type="spellStart"/>
      <w:r w:rsidR="002C534B" w:rsidRPr="002C534B">
        <w:rPr>
          <w:rFonts w:cstheme="minorHAnsi"/>
          <w:sz w:val="24"/>
          <w:szCs w:val="24"/>
        </w:rPr>
        <w:t>Multimodal</w:t>
      </w:r>
      <w:proofErr w:type="spellEnd"/>
      <w:r w:rsidR="002C534B" w:rsidRPr="002C534B">
        <w:rPr>
          <w:rFonts w:cstheme="minorHAnsi"/>
          <w:sz w:val="24"/>
          <w:szCs w:val="24"/>
        </w:rPr>
        <w:t xml:space="preserve"> </w:t>
      </w:r>
      <w:proofErr w:type="spellStart"/>
      <w:r w:rsidR="002C534B" w:rsidRPr="002C534B">
        <w:rPr>
          <w:rFonts w:cstheme="minorHAnsi"/>
          <w:sz w:val="24"/>
          <w:szCs w:val="24"/>
        </w:rPr>
        <w:t>Transports</w:t>
      </w:r>
      <w:proofErr w:type="spellEnd"/>
      <w:r w:rsidR="002C534B" w:rsidRPr="002C534B">
        <w:rPr>
          <w:rFonts w:cstheme="minorHAnsi"/>
          <w:sz w:val="24"/>
          <w:szCs w:val="24"/>
        </w:rPr>
        <w:t>): Σε αυτή την περίπτωση χρησιμοποιούνται περισσότερα του ενός διαφορετικά μέσα (πχ. φορτηγό και τρένο).</w:t>
      </w:r>
    </w:p>
    <w:p w14:paraId="217B4162" w14:textId="08E97083" w:rsidR="002C534B" w:rsidRPr="002C534B" w:rsidRDefault="00ED4C53" w:rsidP="002C534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ii</w:t>
      </w:r>
      <w:r w:rsidRPr="00ED4C53">
        <w:rPr>
          <w:rFonts w:cstheme="minorHAnsi"/>
          <w:sz w:val="24"/>
          <w:szCs w:val="24"/>
        </w:rPr>
        <w:t xml:space="preserve">) </w:t>
      </w:r>
      <w:proofErr w:type="spellStart"/>
      <w:r w:rsidR="002C534B" w:rsidRPr="002C534B">
        <w:rPr>
          <w:rFonts w:cstheme="minorHAnsi"/>
          <w:sz w:val="24"/>
          <w:szCs w:val="24"/>
        </w:rPr>
        <w:t>Διατροπικές</w:t>
      </w:r>
      <w:proofErr w:type="spellEnd"/>
      <w:r w:rsidR="002C534B" w:rsidRPr="002C534B">
        <w:rPr>
          <w:rFonts w:cstheme="minorHAnsi"/>
          <w:sz w:val="24"/>
          <w:szCs w:val="24"/>
        </w:rPr>
        <w:t xml:space="preserve"> μεταφορές (</w:t>
      </w:r>
      <w:proofErr w:type="spellStart"/>
      <w:r w:rsidR="002C534B" w:rsidRPr="002C534B">
        <w:rPr>
          <w:rFonts w:cstheme="minorHAnsi"/>
          <w:sz w:val="24"/>
          <w:szCs w:val="24"/>
        </w:rPr>
        <w:t>Intermodal</w:t>
      </w:r>
      <w:proofErr w:type="spellEnd"/>
      <w:r w:rsidR="002C534B" w:rsidRPr="002C534B">
        <w:rPr>
          <w:rFonts w:cstheme="minorHAnsi"/>
          <w:sz w:val="24"/>
          <w:szCs w:val="24"/>
        </w:rPr>
        <w:t xml:space="preserve"> </w:t>
      </w:r>
      <w:proofErr w:type="spellStart"/>
      <w:r w:rsidR="002C534B" w:rsidRPr="002C534B">
        <w:rPr>
          <w:rFonts w:cstheme="minorHAnsi"/>
          <w:sz w:val="24"/>
          <w:szCs w:val="24"/>
        </w:rPr>
        <w:t>Transports</w:t>
      </w:r>
      <w:proofErr w:type="spellEnd"/>
      <w:r w:rsidR="002C534B" w:rsidRPr="002C534B">
        <w:rPr>
          <w:rFonts w:cstheme="minorHAnsi"/>
          <w:sz w:val="24"/>
          <w:szCs w:val="24"/>
        </w:rPr>
        <w:t xml:space="preserve">): Σε αυτή την μορφή χρησιμοποιείται μια μεταφορική μονάδα (πχ. εμπορευματοκιβώτιο / </w:t>
      </w:r>
      <w:proofErr w:type="spellStart"/>
      <w:r w:rsidR="002C534B" w:rsidRPr="002C534B">
        <w:rPr>
          <w:rFonts w:cstheme="minorHAnsi"/>
          <w:sz w:val="24"/>
          <w:szCs w:val="24"/>
        </w:rPr>
        <w:t>container</w:t>
      </w:r>
      <w:proofErr w:type="spellEnd"/>
      <w:r w:rsidR="002C534B" w:rsidRPr="002C534B">
        <w:rPr>
          <w:rFonts w:cstheme="minorHAnsi"/>
          <w:sz w:val="24"/>
          <w:szCs w:val="24"/>
        </w:rPr>
        <w:t xml:space="preserve">, </w:t>
      </w:r>
      <w:proofErr w:type="spellStart"/>
      <w:r w:rsidR="002C534B" w:rsidRPr="002C534B">
        <w:rPr>
          <w:rFonts w:cstheme="minorHAnsi"/>
          <w:sz w:val="24"/>
          <w:szCs w:val="24"/>
        </w:rPr>
        <w:t>piggyback</w:t>
      </w:r>
      <w:proofErr w:type="spellEnd"/>
      <w:r w:rsidR="002C534B" w:rsidRPr="002C534B">
        <w:rPr>
          <w:rFonts w:cstheme="minorHAnsi"/>
          <w:sz w:val="24"/>
          <w:szCs w:val="24"/>
        </w:rPr>
        <w:t xml:space="preserve"> </w:t>
      </w:r>
      <w:proofErr w:type="spellStart"/>
      <w:r w:rsidR="002C534B" w:rsidRPr="002C534B">
        <w:rPr>
          <w:rFonts w:cstheme="minorHAnsi"/>
          <w:sz w:val="24"/>
          <w:szCs w:val="24"/>
        </w:rPr>
        <w:t>κλπ</w:t>
      </w:r>
      <w:proofErr w:type="spellEnd"/>
      <w:r w:rsidR="002C534B" w:rsidRPr="002C534B">
        <w:rPr>
          <w:rFonts w:cstheme="minorHAnsi"/>
          <w:sz w:val="24"/>
          <w:szCs w:val="24"/>
        </w:rPr>
        <w:t>)</w:t>
      </w:r>
      <w:r w:rsidR="002C534B">
        <w:rPr>
          <w:rFonts w:cstheme="minorHAnsi"/>
          <w:sz w:val="24"/>
          <w:szCs w:val="24"/>
        </w:rPr>
        <w:t xml:space="preserve"> </w:t>
      </w:r>
      <w:r w:rsidR="002C534B" w:rsidRPr="002C534B">
        <w:rPr>
          <w:rFonts w:cstheme="minorHAnsi"/>
          <w:sz w:val="24"/>
          <w:szCs w:val="24"/>
        </w:rPr>
        <w:t>και περισσότερα του ενός διαφορετικά διαδοχικά μεταφορικά μέσα. Το ίδιο το</w:t>
      </w:r>
      <w:r w:rsidR="002C534B">
        <w:rPr>
          <w:rFonts w:cstheme="minorHAnsi"/>
          <w:sz w:val="24"/>
          <w:szCs w:val="24"/>
        </w:rPr>
        <w:t xml:space="preserve"> </w:t>
      </w:r>
      <w:r w:rsidR="002C534B" w:rsidRPr="002C534B">
        <w:rPr>
          <w:rFonts w:cstheme="minorHAnsi"/>
          <w:sz w:val="24"/>
          <w:szCs w:val="24"/>
        </w:rPr>
        <w:t>φορτίο δεν υπόκειται σε χειρισμό κατά τη διάρκεια της όλης μεταφοράς, αλλά μεταφορτώνεται ολόκληρη η μεταφορική μονάδα από το ένα μέσο στο άλλο.</w:t>
      </w:r>
    </w:p>
    <w:p w14:paraId="5E1A4A9C" w14:textId="6697B9B4" w:rsidR="002C534B" w:rsidRDefault="00ED4C53" w:rsidP="002C534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iii</w:t>
      </w:r>
      <w:r w:rsidRPr="00ED4C53">
        <w:rPr>
          <w:rFonts w:cstheme="minorHAnsi"/>
          <w:sz w:val="24"/>
          <w:szCs w:val="24"/>
        </w:rPr>
        <w:t xml:space="preserve">) </w:t>
      </w:r>
      <w:r w:rsidR="002C534B" w:rsidRPr="002C534B">
        <w:rPr>
          <w:rFonts w:cstheme="minorHAnsi"/>
          <w:sz w:val="24"/>
          <w:szCs w:val="24"/>
        </w:rPr>
        <w:t>Συνδυασμένη μεταφορά (</w:t>
      </w:r>
      <w:proofErr w:type="spellStart"/>
      <w:r w:rsidR="002C534B" w:rsidRPr="002C534B">
        <w:rPr>
          <w:rFonts w:cstheme="minorHAnsi"/>
          <w:sz w:val="24"/>
          <w:szCs w:val="24"/>
        </w:rPr>
        <w:t>combined</w:t>
      </w:r>
      <w:proofErr w:type="spellEnd"/>
      <w:r w:rsidR="002C534B" w:rsidRPr="002C534B">
        <w:rPr>
          <w:rFonts w:cstheme="minorHAnsi"/>
          <w:sz w:val="24"/>
          <w:szCs w:val="24"/>
        </w:rPr>
        <w:t xml:space="preserve"> </w:t>
      </w:r>
      <w:proofErr w:type="spellStart"/>
      <w:r w:rsidR="002C534B" w:rsidRPr="002C534B">
        <w:rPr>
          <w:rFonts w:cstheme="minorHAnsi"/>
          <w:sz w:val="24"/>
          <w:szCs w:val="24"/>
        </w:rPr>
        <w:t>transport</w:t>
      </w:r>
      <w:proofErr w:type="spellEnd"/>
      <w:r w:rsidR="002C534B" w:rsidRPr="002C534B">
        <w:rPr>
          <w:rFonts w:cstheme="minorHAnsi"/>
          <w:sz w:val="24"/>
          <w:szCs w:val="24"/>
        </w:rPr>
        <w:t>): H οικονομική επιτροπή του ΟΗΕ για</w:t>
      </w:r>
      <w:r w:rsidR="002C534B">
        <w:rPr>
          <w:rFonts w:cstheme="minorHAnsi"/>
          <w:sz w:val="24"/>
          <w:szCs w:val="24"/>
        </w:rPr>
        <w:t xml:space="preserve"> </w:t>
      </w:r>
      <w:r w:rsidR="002C534B" w:rsidRPr="002C534B">
        <w:rPr>
          <w:rFonts w:cstheme="minorHAnsi"/>
          <w:sz w:val="24"/>
          <w:szCs w:val="24"/>
        </w:rPr>
        <w:t>την Ευρώπη χρησιμοποιεί τον όρο «συνδυασμένη μεταφορά», δίνοντας μια έννοια</w:t>
      </w:r>
      <w:r w:rsidR="002C534B">
        <w:rPr>
          <w:rFonts w:cstheme="minorHAnsi"/>
          <w:sz w:val="24"/>
          <w:szCs w:val="24"/>
        </w:rPr>
        <w:t xml:space="preserve"> </w:t>
      </w:r>
      <w:r w:rsidR="002C534B" w:rsidRPr="002C534B">
        <w:rPr>
          <w:rFonts w:cstheme="minorHAnsi"/>
          <w:sz w:val="24"/>
          <w:szCs w:val="24"/>
        </w:rPr>
        <w:t>πανομοιότυπη με εκείνη της «</w:t>
      </w:r>
      <w:proofErr w:type="spellStart"/>
      <w:r w:rsidR="002C534B" w:rsidRPr="002C534B">
        <w:rPr>
          <w:rFonts w:cstheme="minorHAnsi"/>
          <w:sz w:val="24"/>
          <w:szCs w:val="24"/>
        </w:rPr>
        <w:t>διατροπικής</w:t>
      </w:r>
      <w:proofErr w:type="spellEnd"/>
      <w:r w:rsidR="002C534B" w:rsidRPr="002C534B">
        <w:rPr>
          <w:rFonts w:cstheme="minorHAnsi"/>
          <w:sz w:val="24"/>
          <w:szCs w:val="24"/>
        </w:rPr>
        <w:t xml:space="preserve"> μεταφοράς». Σύμφωνα με το άρθρο 2</w:t>
      </w:r>
      <w:r w:rsidR="002C534B">
        <w:rPr>
          <w:rFonts w:cstheme="minorHAnsi"/>
          <w:sz w:val="24"/>
          <w:szCs w:val="24"/>
        </w:rPr>
        <w:t xml:space="preserve"> </w:t>
      </w:r>
      <w:r w:rsidR="002C534B" w:rsidRPr="002C534B">
        <w:rPr>
          <w:rFonts w:cstheme="minorHAnsi"/>
          <w:sz w:val="24"/>
          <w:szCs w:val="24"/>
        </w:rPr>
        <w:t xml:space="preserve">του Π.Δ. 431/95 ως συνδυασμένες μεταφορές νοούνται οι εμπορευματικές μεταφορές μεταξύ κρατών μελών κατά τις οποίες το φορτηγό, το </w:t>
      </w:r>
      <w:proofErr w:type="spellStart"/>
      <w:r w:rsidR="002C534B" w:rsidRPr="002C534B">
        <w:rPr>
          <w:rFonts w:cstheme="minorHAnsi"/>
          <w:sz w:val="24"/>
          <w:szCs w:val="24"/>
        </w:rPr>
        <w:t>ρυμουλκούμενο</w:t>
      </w:r>
      <w:proofErr w:type="spellEnd"/>
      <w:r w:rsidR="002C534B" w:rsidRPr="002C534B">
        <w:rPr>
          <w:rFonts w:cstheme="minorHAnsi"/>
          <w:sz w:val="24"/>
          <w:szCs w:val="24"/>
        </w:rPr>
        <w:t>, το</w:t>
      </w:r>
      <w:r w:rsidR="002C534B">
        <w:rPr>
          <w:rFonts w:cstheme="minorHAnsi"/>
          <w:sz w:val="24"/>
          <w:szCs w:val="24"/>
        </w:rPr>
        <w:t xml:space="preserve"> </w:t>
      </w:r>
      <w:proofErr w:type="spellStart"/>
      <w:r w:rsidR="002C534B" w:rsidRPr="002C534B">
        <w:rPr>
          <w:rFonts w:cstheme="minorHAnsi"/>
          <w:sz w:val="24"/>
          <w:szCs w:val="24"/>
        </w:rPr>
        <w:t>ημιρυμουλκούμενο</w:t>
      </w:r>
      <w:proofErr w:type="spellEnd"/>
      <w:r w:rsidR="002C534B" w:rsidRPr="002C534B">
        <w:rPr>
          <w:rFonts w:cstheme="minorHAnsi"/>
          <w:sz w:val="24"/>
          <w:szCs w:val="24"/>
        </w:rPr>
        <w:t xml:space="preserve">, με ή χωρίς ρυμουλκό, το κινητό αμάξωμα ή το εμπορευματοκιβώτιο 20 </w:t>
      </w:r>
      <w:proofErr w:type="spellStart"/>
      <w:r w:rsidR="002C534B" w:rsidRPr="002C534B">
        <w:rPr>
          <w:rFonts w:cstheme="minorHAnsi"/>
          <w:sz w:val="24"/>
          <w:szCs w:val="24"/>
        </w:rPr>
        <w:t>ποδών</w:t>
      </w:r>
      <w:proofErr w:type="spellEnd"/>
      <w:r w:rsidR="002C534B" w:rsidRPr="002C534B">
        <w:rPr>
          <w:rFonts w:cstheme="minorHAnsi"/>
          <w:sz w:val="24"/>
          <w:szCs w:val="24"/>
        </w:rPr>
        <w:t xml:space="preserve"> και άνω χρησιμοποιούν</w:t>
      </w:r>
      <w:r w:rsidR="002C534B">
        <w:rPr>
          <w:rFonts w:cstheme="minorHAnsi"/>
          <w:sz w:val="24"/>
          <w:szCs w:val="24"/>
        </w:rPr>
        <w:t>:</w:t>
      </w:r>
      <w:r w:rsidR="002C534B" w:rsidRPr="002C534B">
        <w:rPr>
          <w:rFonts w:cstheme="minorHAnsi"/>
          <w:sz w:val="24"/>
          <w:szCs w:val="24"/>
        </w:rPr>
        <w:t xml:space="preserve"> </w:t>
      </w:r>
    </w:p>
    <w:p w14:paraId="1C11C26A" w14:textId="7CDECB36" w:rsidR="002C534B" w:rsidRPr="002C534B" w:rsidRDefault="00ED4C53" w:rsidP="002C534B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</w:t>
      </w:r>
      <w:r w:rsidR="002C534B" w:rsidRPr="002C534B">
        <w:rPr>
          <w:rFonts w:cstheme="minorHAnsi"/>
          <w:sz w:val="24"/>
          <w:szCs w:val="24"/>
        </w:rPr>
        <w:t>ο οδικό δίκτυο για το αρχικό ή το τελικό τμήμα της διαδρομής και για το υπόλοιπο τμήμα πραγματοποιείται μέσω σιδηροδρόμου, θάλασσας ή πλωτών οδών (ποτάμια), όταν η διαδρομή αυτή υπερβαίνει τα 100 χλμ. σε ευθεία γραμμή και διανύουν την αρχική ή τελική οδική διαδρομή.</w:t>
      </w:r>
    </w:p>
    <w:p w14:paraId="2AED98E7" w14:textId="0C404851" w:rsidR="002C534B" w:rsidRPr="002C534B" w:rsidRDefault="00ED4C53" w:rsidP="002C534B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</w:t>
      </w:r>
      <w:r w:rsidR="002C534B" w:rsidRPr="002C534B">
        <w:rPr>
          <w:rFonts w:cstheme="minorHAnsi"/>
          <w:sz w:val="24"/>
          <w:szCs w:val="24"/>
        </w:rPr>
        <w:t>ίτε ανάμεσα στο σημείο φόρτωσης του εμπορεύματος και τον πλησιέστερο κατάλληλο σιδηροδρομικό σταθμό εκφόρτωσης και το σημείο εκφόρτωσης του εμπορεύματος για την τελική διαδρομή.</w:t>
      </w:r>
    </w:p>
    <w:p w14:paraId="0C758051" w14:textId="6F2C4EFE" w:rsidR="00FB7E44" w:rsidRDefault="00ED4C53" w:rsidP="002C534B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</w:t>
      </w:r>
      <w:r w:rsidR="002C534B" w:rsidRPr="002C534B">
        <w:rPr>
          <w:rFonts w:cstheme="minorHAnsi"/>
          <w:sz w:val="24"/>
          <w:szCs w:val="24"/>
        </w:rPr>
        <w:t>ίτε μέσα σε ακτίνα που δεν υπερβαίνει τα 150 χλμ. σε ευθεία γραμμή από το ποτάμιο ή θαλάσσιο λιμένα φόρτωσης ή εκφόρτωσης.</w:t>
      </w:r>
    </w:p>
    <w:p w14:paraId="6E72B684" w14:textId="3C1A3417" w:rsidR="002C534B" w:rsidRDefault="002C534B" w:rsidP="002C534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984D0E2" w14:textId="594643CC" w:rsidR="002C534B" w:rsidRPr="002C534B" w:rsidRDefault="002C534B" w:rsidP="002C534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2C534B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Τ</w:t>
      </w:r>
      <w:r w:rsidRPr="002C534B">
        <w:rPr>
          <w:rFonts w:cstheme="minorHAnsi"/>
          <w:sz w:val="24"/>
          <w:szCs w:val="24"/>
        </w:rPr>
        <w:t>α πλεονεκτήματα</w:t>
      </w:r>
      <w:r>
        <w:rPr>
          <w:rFonts w:cstheme="minorHAnsi"/>
          <w:sz w:val="24"/>
          <w:szCs w:val="24"/>
        </w:rPr>
        <w:t xml:space="preserve"> </w:t>
      </w:r>
      <w:r w:rsidRPr="002C534B">
        <w:rPr>
          <w:rFonts w:cstheme="minorHAnsi"/>
          <w:sz w:val="24"/>
          <w:szCs w:val="24"/>
        </w:rPr>
        <w:t>των συνδυασμένων μεταφορών συνοπτικά είναι τα εξής:</w:t>
      </w:r>
    </w:p>
    <w:p w14:paraId="374E2DDE" w14:textId="5FABBF42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t>Μείωση των τερματικών σταθμών και του κόστους φορτοεκφόρτωσης.</w:t>
      </w:r>
    </w:p>
    <w:p w14:paraId="4D42673A" w14:textId="4186137D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2C534B">
        <w:rPr>
          <w:rFonts w:cstheme="minorHAnsi"/>
          <w:sz w:val="24"/>
          <w:szCs w:val="24"/>
        </w:rPr>
        <w:t>Πλήρης</w:t>
      </w:r>
      <w:r w:rsidRPr="002C534B">
        <w:rPr>
          <w:rFonts w:cstheme="minorHAnsi"/>
          <w:sz w:val="24"/>
          <w:szCs w:val="24"/>
          <w:lang w:val="en-US"/>
        </w:rPr>
        <w:t xml:space="preserve"> </w:t>
      </w:r>
      <w:r w:rsidRPr="002C534B">
        <w:rPr>
          <w:rFonts w:cstheme="minorHAnsi"/>
          <w:sz w:val="24"/>
          <w:szCs w:val="24"/>
        </w:rPr>
        <w:t>μεταφορά</w:t>
      </w:r>
      <w:r w:rsidRPr="002C534B">
        <w:rPr>
          <w:rFonts w:cstheme="minorHAnsi"/>
          <w:sz w:val="24"/>
          <w:szCs w:val="24"/>
          <w:lang w:val="en-US"/>
        </w:rPr>
        <w:t xml:space="preserve"> (door to door).</w:t>
      </w:r>
    </w:p>
    <w:p w14:paraId="077F0426" w14:textId="4121B31D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t>Περιορισμός των ζημιών στα φορτία.</w:t>
      </w:r>
    </w:p>
    <w:p w14:paraId="2ECEE4BF" w14:textId="0C6C0BB1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lastRenderedPageBreak/>
        <w:t>Φιλική προς το περιβάλλον μεταφορά.</w:t>
      </w:r>
    </w:p>
    <w:p w14:paraId="397497AD" w14:textId="3DCB9394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t>Ασφαλής, αξιόπιστος και εφάμιλλος του οδικού δικτύου σε ταχύτητα χρόνος μεταφοράς.</w:t>
      </w:r>
    </w:p>
    <w:p w14:paraId="48EBA908" w14:textId="28F43A0C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t>Υπηρεσίες «</w:t>
      </w:r>
      <w:proofErr w:type="spellStart"/>
      <w:r w:rsidRPr="002C534B">
        <w:rPr>
          <w:rFonts w:cstheme="minorHAnsi"/>
          <w:sz w:val="24"/>
          <w:szCs w:val="24"/>
        </w:rPr>
        <w:t>just</w:t>
      </w:r>
      <w:proofErr w:type="spellEnd"/>
      <w:r w:rsidRPr="002C534B">
        <w:rPr>
          <w:rFonts w:cstheme="minorHAnsi"/>
          <w:sz w:val="24"/>
          <w:szCs w:val="24"/>
        </w:rPr>
        <w:t xml:space="preserve"> in </w:t>
      </w:r>
      <w:proofErr w:type="spellStart"/>
      <w:r w:rsidRPr="002C534B">
        <w:rPr>
          <w:rFonts w:cstheme="minorHAnsi"/>
          <w:sz w:val="24"/>
          <w:szCs w:val="24"/>
        </w:rPr>
        <w:t>time</w:t>
      </w:r>
      <w:proofErr w:type="spellEnd"/>
      <w:r w:rsidRPr="002C534B">
        <w:rPr>
          <w:rFonts w:cstheme="minorHAnsi"/>
          <w:sz w:val="24"/>
          <w:szCs w:val="24"/>
        </w:rPr>
        <w:t>».</w:t>
      </w:r>
    </w:p>
    <w:p w14:paraId="13C061F0" w14:textId="56B2C450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t>Μείωση του χρόνου διαχείρισης του φορτίου.</w:t>
      </w:r>
    </w:p>
    <w:p w14:paraId="5679F958" w14:textId="6E1719EC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t>Παρόμοιες μεταφορικές μονάδες και μεγάλη χωρητικότητα ωφέλιμου φορτίου.</w:t>
      </w:r>
    </w:p>
    <w:p w14:paraId="205F97E9" w14:textId="4A4E3F38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t>Έλεγχος του φορτίου σε όλα τα στάδια της μεταφοράς.</w:t>
      </w:r>
    </w:p>
    <w:p w14:paraId="0E53918D" w14:textId="34FD84BD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t>Αποσυμφόρηση οδών από κίνηση μεγάλων αποστάσεων.</w:t>
      </w:r>
    </w:p>
    <w:p w14:paraId="370381C6" w14:textId="57CCF848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t>Ανταγωνιστικές τιμές.</w:t>
      </w:r>
    </w:p>
    <w:p w14:paraId="1C966193" w14:textId="4285DA57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t>Λιγότερα τροχαία ατυχήματα.</w:t>
      </w:r>
    </w:p>
    <w:p w14:paraId="544D1D50" w14:textId="59976F9A" w:rsidR="002C534B" w:rsidRPr="002C534B" w:rsidRDefault="002C534B" w:rsidP="002C534B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sz w:val="24"/>
          <w:szCs w:val="24"/>
        </w:rPr>
        <w:t>Βελτίωση της αποδοτικότητας και ενίσχυση σιδηροδρόμων, εσωτερικής ναυσιπλοΐας και ναυτιλίας μικρών αποστάσεων.</w:t>
      </w:r>
    </w:p>
    <w:sectPr w:rsidR="002C534B" w:rsidRPr="002C534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64563"/>
    <w:multiLevelType w:val="hybridMultilevel"/>
    <w:tmpl w:val="46D279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3D34"/>
    <w:multiLevelType w:val="hybridMultilevel"/>
    <w:tmpl w:val="2F762FF2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708150">
    <w:abstractNumId w:val="0"/>
  </w:num>
  <w:num w:numId="2" w16cid:durableId="1409422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2C534B"/>
    <w:rsid w:val="003115BC"/>
    <w:rsid w:val="0032412E"/>
    <w:rsid w:val="003C3C77"/>
    <w:rsid w:val="003C429E"/>
    <w:rsid w:val="004F4578"/>
    <w:rsid w:val="005038CC"/>
    <w:rsid w:val="00576914"/>
    <w:rsid w:val="006337D7"/>
    <w:rsid w:val="00786A8E"/>
    <w:rsid w:val="00847C8B"/>
    <w:rsid w:val="008C2057"/>
    <w:rsid w:val="008C6115"/>
    <w:rsid w:val="008D0F0D"/>
    <w:rsid w:val="00915D4B"/>
    <w:rsid w:val="0096123D"/>
    <w:rsid w:val="00A313C4"/>
    <w:rsid w:val="00BB22AC"/>
    <w:rsid w:val="00C12985"/>
    <w:rsid w:val="00C5361D"/>
    <w:rsid w:val="00C67933"/>
    <w:rsid w:val="00CB184B"/>
    <w:rsid w:val="00D13C1B"/>
    <w:rsid w:val="00D53041"/>
    <w:rsid w:val="00DA0DEB"/>
    <w:rsid w:val="00ED4C53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16</cp:revision>
  <dcterms:created xsi:type="dcterms:W3CDTF">2022-09-13T08:11:00Z</dcterms:created>
  <dcterms:modified xsi:type="dcterms:W3CDTF">2023-04-08T18:17:00Z</dcterms:modified>
</cp:coreProperties>
</file>