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BC1AA1A" w14:textId="121BC99D" w:rsidR="00FB7E44" w:rsidRPr="006C0CD0" w:rsidRDefault="00FB7E44" w:rsidP="005038CC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43BEA00" w14:textId="74340C1D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2D9ECB" w14:textId="7F86DBF2" w:rsidR="005038CC" w:rsidRDefault="00FB7E44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E44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6C0CD0" w:rsidRPr="006C0CD0">
        <w:rPr>
          <w:rFonts w:cstheme="minorHAnsi"/>
          <w:sz w:val="24"/>
          <w:szCs w:val="24"/>
        </w:rPr>
        <w:t>Διατροπικές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 μεταφορές (</w:t>
      </w:r>
      <w:proofErr w:type="spellStart"/>
      <w:r w:rsidR="006C0CD0" w:rsidRPr="006C0CD0">
        <w:rPr>
          <w:rFonts w:cstheme="minorHAnsi"/>
          <w:sz w:val="24"/>
          <w:szCs w:val="24"/>
        </w:rPr>
        <w:t>Intermodal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 </w:t>
      </w:r>
      <w:proofErr w:type="spellStart"/>
      <w:r w:rsidR="006C0CD0" w:rsidRPr="006C0CD0">
        <w:rPr>
          <w:rFonts w:cstheme="minorHAnsi"/>
          <w:sz w:val="24"/>
          <w:szCs w:val="24"/>
        </w:rPr>
        <w:t>Transports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): Σε αυτή την μορφή χρησιμοποιείται μια μεταφορική μονάδα (πχ. εμπορευματοκιβώτιο / </w:t>
      </w:r>
      <w:proofErr w:type="spellStart"/>
      <w:r w:rsidR="006C0CD0" w:rsidRPr="006C0CD0">
        <w:rPr>
          <w:rFonts w:cstheme="minorHAnsi"/>
          <w:sz w:val="24"/>
          <w:szCs w:val="24"/>
        </w:rPr>
        <w:t>container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, </w:t>
      </w:r>
      <w:proofErr w:type="spellStart"/>
      <w:r w:rsidR="006C0CD0" w:rsidRPr="006C0CD0">
        <w:rPr>
          <w:rFonts w:cstheme="minorHAnsi"/>
          <w:sz w:val="24"/>
          <w:szCs w:val="24"/>
        </w:rPr>
        <w:t>piggyback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 </w:t>
      </w:r>
      <w:proofErr w:type="spellStart"/>
      <w:r w:rsidR="006C0CD0" w:rsidRPr="006C0CD0">
        <w:rPr>
          <w:rFonts w:cstheme="minorHAnsi"/>
          <w:sz w:val="24"/>
          <w:szCs w:val="24"/>
        </w:rPr>
        <w:t>κλπ</w:t>
      </w:r>
      <w:proofErr w:type="spellEnd"/>
      <w:r w:rsidR="006C0CD0" w:rsidRPr="006C0CD0">
        <w:rPr>
          <w:rFonts w:cstheme="minorHAnsi"/>
          <w:sz w:val="24"/>
          <w:szCs w:val="24"/>
        </w:rPr>
        <w:t>)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και περισσότερα του ενός διαφορετικά διαδοχικά μεταφορικά μέσα. Το ίδιο το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φορτίο δεν υπόκειται σε χειρισμό κατά τη διάρκεια της όλης μεταφοράς, αλλά μεταφορτώνεται ολόκληρη η μεταφορική μονάδα από το ένα μέσο στο άλλο.</w:t>
      </w:r>
    </w:p>
    <w:p w14:paraId="0C758051" w14:textId="12C85DDF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743F0BD" w14:textId="3B729068" w:rsidR="00034FAB" w:rsidRDefault="00FB7E44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Διαδοχική μεταφορά: Είναι η μεταφορά που πραγματοποιείται από περισσότερους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 xml:space="preserve">του ενός μεταφορείς, καθένας από τους οποίους εκτελεί διαδοχικά τμήμα της </w:t>
      </w:r>
      <w:r w:rsidR="006C0CD0">
        <w:rPr>
          <w:rFonts w:cstheme="minorHAnsi"/>
          <w:sz w:val="24"/>
          <w:szCs w:val="24"/>
        </w:rPr>
        <w:t xml:space="preserve">όλης </w:t>
      </w:r>
      <w:r w:rsidR="006C0CD0" w:rsidRPr="006C0CD0">
        <w:rPr>
          <w:rFonts w:cstheme="minorHAnsi"/>
          <w:sz w:val="24"/>
          <w:szCs w:val="24"/>
        </w:rPr>
        <w:t>μεταφοράς που γίνεται στον ίδιο γεωγραφικό χώρο (ξηρά, θάλασσα ή αέρα) με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ένα είδος μεταφορικού μέσου</w:t>
      </w:r>
      <w:r w:rsidR="00FB7D0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(σιδηρόδρομο ή φορτηγό ή πλοίο ή αεροπλάνο) και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καλύπτεται με ενιαία σύμβαση μεταφοράς και μια φορτωτική, η οποία νομικά αποκαλείται «</w:t>
      </w:r>
      <w:proofErr w:type="spellStart"/>
      <w:r w:rsidR="006C0CD0" w:rsidRPr="006C0CD0">
        <w:rPr>
          <w:rFonts w:cstheme="minorHAnsi"/>
          <w:sz w:val="24"/>
          <w:szCs w:val="24"/>
        </w:rPr>
        <w:t>διαφορτωτική</w:t>
      </w:r>
      <w:proofErr w:type="spellEnd"/>
      <w:r w:rsidR="006C0CD0" w:rsidRPr="006C0CD0">
        <w:rPr>
          <w:rFonts w:cstheme="minorHAnsi"/>
          <w:sz w:val="24"/>
          <w:szCs w:val="24"/>
        </w:rPr>
        <w:t>». Παράδειγμα: Δύο οδικοί μεταφορείς αναλαμβάνουν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διαδοχικά να μεταφέρουν το ίδιο φορτίο από την Αυστρία στην Ελλάδα, πραγματοποιώντας μεταφόρτωση στην Ουγγαρία.</w:t>
      </w:r>
    </w:p>
    <w:p w14:paraId="15849EBB" w14:textId="77777777" w:rsidR="006C0CD0" w:rsidRDefault="006C0CD0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7AFF50" w14:textId="3CD0CDCA" w:rsidR="00034FAB" w:rsidRDefault="00034FAB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Εμπορευματικά κέντρα: Είναι οργανικά ολοκληρωμένα σύνολα δομών, διαρθρωμένων υπηρεσιών και υποδομών διαφορετικών μέσων μεταφοράς, που ιδρύονται και λειτουργούν σε περιοχή που επιτρέπονται δραστηριότητες για εξυπηρέτηση συνδυασμένων μεταφορών και υποχρεωτικά περιλαμβάνει ή συνδέεται με σιδηροδρομικό σταθμό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>ή λιμάνι ή αεροδρόμιο. Σε αυτή την περίπτωση θα συναντήσουμε μεταφορτώσεις τόσο</w:t>
      </w:r>
      <w:r w:rsidR="006C0CD0">
        <w:rPr>
          <w:rFonts w:cstheme="minorHAnsi"/>
          <w:sz w:val="24"/>
          <w:szCs w:val="24"/>
        </w:rPr>
        <w:t xml:space="preserve"> </w:t>
      </w:r>
      <w:r w:rsidR="006C0CD0" w:rsidRPr="006C0CD0">
        <w:rPr>
          <w:rFonts w:cstheme="minorHAnsi"/>
          <w:sz w:val="24"/>
          <w:szCs w:val="24"/>
        </w:rPr>
        <w:t xml:space="preserve">ολόκληρων μεταφορικών μονάδων, όσο και μικρότερων ποσοτήτων φορτίου, </w:t>
      </w:r>
      <w:proofErr w:type="spellStart"/>
      <w:r w:rsidR="006C0CD0" w:rsidRPr="006C0CD0">
        <w:rPr>
          <w:rFonts w:cstheme="minorHAnsi"/>
          <w:sz w:val="24"/>
          <w:szCs w:val="24"/>
        </w:rPr>
        <w:t>μοναδοποιημένου</w:t>
      </w:r>
      <w:proofErr w:type="spellEnd"/>
      <w:r w:rsidR="006C0CD0" w:rsidRPr="006C0CD0">
        <w:rPr>
          <w:rFonts w:cstheme="minorHAnsi"/>
          <w:sz w:val="24"/>
          <w:szCs w:val="24"/>
        </w:rPr>
        <w:t xml:space="preserve"> ή μη.</w:t>
      </w:r>
    </w:p>
    <w:p w14:paraId="3173A4E3" w14:textId="3C895E86" w:rsidR="006C0CD0" w:rsidRDefault="006C0CD0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FC0E25" w14:textId="0114FEB5" w:rsidR="006C0CD0" w:rsidRDefault="006C0CD0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6C0CD0">
        <w:rPr>
          <w:rFonts w:cstheme="minorHAnsi"/>
          <w:sz w:val="24"/>
          <w:szCs w:val="24"/>
        </w:rPr>
        <w:t>LCL (</w:t>
      </w:r>
      <w:proofErr w:type="spellStart"/>
      <w:r w:rsidRPr="006C0CD0">
        <w:rPr>
          <w:rFonts w:cstheme="minorHAnsi"/>
          <w:sz w:val="24"/>
          <w:szCs w:val="24"/>
        </w:rPr>
        <w:t>Less</w:t>
      </w:r>
      <w:proofErr w:type="spellEnd"/>
      <w:r w:rsidRPr="006C0CD0">
        <w:rPr>
          <w:rFonts w:cstheme="minorHAnsi"/>
          <w:sz w:val="24"/>
          <w:szCs w:val="24"/>
        </w:rPr>
        <w:t xml:space="preserve"> </w:t>
      </w:r>
      <w:proofErr w:type="spellStart"/>
      <w:r w:rsidRPr="006C0CD0">
        <w:rPr>
          <w:rFonts w:cstheme="minorHAnsi"/>
          <w:sz w:val="24"/>
          <w:szCs w:val="24"/>
        </w:rPr>
        <w:t>Container</w:t>
      </w:r>
      <w:proofErr w:type="spellEnd"/>
      <w:r w:rsidRPr="006C0CD0">
        <w:rPr>
          <w:rFonts w:cstheme="minorHAnsi"/>
          <w:sz w:val="24"/>
          <w:szCs w:val="24"/>
        </w:rPr>
        <w:t xml:space="preserve"> </w:t>
      </w:r>
      <w:proofErr w:type="spellStart"/>
      <w:r w:rsidRPr="006C0CD0">
        <w:rPr>
          <w:rFonts w:cstheme="minorHAnsi"/>
          <w:sz w:val="24"/>
          <w:szCs w:val="24"/>
        </w:rPr>
        <w:t>Load</w:t>
      </w:r>
      <w:proofErr w:type="spellEnd"/>
      <w:r w:rsidRPr="006C0CD0">
        <w:rPr>
          <w:rFonts w:cstheme="minorHAnsi"/>
          <w:sz w:val="24"/>
          <w:szCs w:val="24"/>
        </w:rPr>
        <w:t xml:space="preserve">): Ποσότητα που </w:t>
      </w:r>
      <w:r w:rsidR="00FB7D00">
        <w:rPr>
          <w:rFonts w:cstheme="minorHAnsi"/>
          <w:sz w:val="24"/>
          <w:szCs w:val="24"/>
        </w:rPr>
        <w:t>δεν</w:t>
      </w:r>
      <w:r w:rsidRPr="006C0CD0">
        <w:rPr>
          <w:rFonts w:cstheme="minorHAnsi"/>
          <w:sz w:val="24"/>
          <w:szCs w:val="24"/>
        </w:rPr>
        <w:t xml:space="preserve"> γεμίζει ένα </w:t>
      </w:r>
      <w:proofErr w:type="spellStart"/>
      <w:r w:rsidRPr="006C0CD0">
        <w:rPr>
          <w:rFonts w:cstheme="minorHAnsi"/>
          <w:sz w:val="24"/>
          <w:szCs w:val="24"/>
        </w:rPr>
        <w:t>container</w:t>
      </w:r>
      <w:proofErr w:type="spellEnd"/>
      <w:r w:rsidRPr="006C0CD0">
        <w:rPr>
          <w:rFonts w:cstheme="minorHAnsi"/>
          <w:sz w:val="24"/>
          <w:szCs w:val="24"/>
        </w:rPr>
        <w:t xml:space="preserve">, αλλά πραγματοποιείται </w:t>
      </w:r>
      <w:proofErr w:type="spellStart"/>
      <w:r w:rsidRPr="006C0CD0">
        <w:rPr>
          <w:rFonts w:cstheme="minorHAnsi"/>
          <w:sz w:val="24"/>
          <w:szCs w:val="24"/>
        </w:rPr>
        <w:t>συμφόρτωση</w:t>
      </w:r>
      <w:proofErr w:type="spellEnd"/>
      <w:r w:rsidRPr="006C0CD0">
        <w:rPr>
          <w:rFonts w:cstheme="minorHAnsi"/>
          <w:sz w:val="24"/>
          <w:szCs w:val="24"/>
        </w:rPr>
        <w:t xml:space="preserve"> και μεταφορά μαζί με </w:t>
      </w:r>
      <w:proofErr w:type="spellStart"/>
      <w:r w:rsidRPr="006C0CD0">
        <w:rPr>
          <w:rFonts w:cstheme="minorHAnsi"/>
          <w:sz w:val="24"/>
          <w:szCs w:val="24"/>
        </w:rPr>
        <w:t>μικροποσότητες</w:t>
      </w:r>
      <w:proofErr w:type="spellEnd"/>
      <w:r w:rsidRPr="006C0CD0">
        <w:rPr>
          <w:rFonts w:cstheme="minorHAnsi"/>
          <w:sz w:val="24"/>
          <w:szCs w:val="24"/>
        </w:rPr>
        <w:t xml:space="preserve"> φορτίων που ανήκουν σε άλλους αποστολείς / παραλήπτες.</w:t>
      </w:r>
    </w:p>
    <w:p w14:paraId="446CC8E9" w14:textId="1C6459AE" w:rsidR="006C0CD0" w:rsidRDefault="006C0CD0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0D1232E" w14:textId="173356F7" w:rsidR="006C0CD0" w:rsidRDefault="006C0CD0" w:rsidP="006C0CD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FB7E44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6C0CD0">
        <w:rPr>
          <w:rFonts w:cstheme="minorHAnsi"/>
          <w:sz w:val="24"/>
          <w:szCs w:val="24"/>
        </w:rPr>
        <w:t>Φορτηγά Ιδιωτικής Χρήσης (ΦΙΧ): Ανήκουν σε παραγωγική ή εμπορική επιχείρηση</w:t>
      </w:r>
      <w:r>
        <w:rPr>
          <w:rFonts w:cstheme="minorHAnsi"/>
          <w:sz w:val="24"/>
          <w:szCs w:val="24"/>
        </w:rPr>
        <w:t xml:space="preserve"> </w:t>
      </w:r>
      <w:r w:rsidRPr="006C0CD0">
        <w:rPr>
          <w:rFonts w:cstheme="minorHAnsi"/>
          <w:sz w:val="24"/>
          <w:szCs w:val="24"/>
        </w:rPr>
        <w:t>και χρησιμοποιούνται αποκλειστικά και μόνο από την ίδια για τις δικές της ανάγκες</w:t>
      </w:r>
      <w:r>
        <w:rPr>
          <w:rFonts w:cstheme="minorHAnsi"/>
          <w:sz w:val="24"/>
          <w:szCs w:val="24"/>
        </w:rPr>
        <w:t xml:space="preserve"> </w:t>
      </w:r>
      <w:r w:rsidRPr="006C0CD0">
        <w:rPr>
          <w:rFonts w:cstheme="minorHAnsi"/>
          <w:sz w:val="24"/>
          <w:szCs w:val="24"/>
        </w:rPr>
        <w:t xml:space="preserve">(πχ αγορά </w:t>
      </w:r>
      <w:r w:rsidRPr="006C0CD0">
        <w:rPr>
          <w:rFonts w:cstheme="minorHAnsi"/>
          <w:sz w:val="24"/>
          <w:szCs w:val="24"/>
        </w:rPr>
        <w:lastRenderedPageBreak/>
        <w:t>πρώτων υλών, πώληση προϊόντων της, μεταφοράς εξοπλισμού της σε</w:t>
      </w:r>
      <w:r>
        <w:rPr>
          <w:rFonts w:cstheme="minorHAnsi"/>
          <w:sz w:val="24"/>
          <w:szCs w:val="24"/>
        </w:rPr>
        <w:t xml:space="preserve"> </w:t>
      </w:r>
      <w:r w:rsidRPr="006C0CD0">
        <w:rPr>
          <w:rFonts w:cstheme="minorHAnsi"/>
          <w:sz w:val="24"/>
          <w:szCs w:val="24"/>
        </w:rPr>
        <w:t>συνεργεία προς επισκευή, κλπ.).</w:t>
      </w:r>
    </w:p>
    <w:sectPr w:rsidR="006C0CD0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3115BC"/>
    <w:rsid w:val="0032412E"/>
    <w:rsid w:val="003C3C77"/>
    <w:rsid w:val="00436380"/>
    <w:rsid w:val="004F4578"/>
    <w:rsid w:val="005038CC"/>
    <w:rsid w:val="00576914"/>
    <w:rsid w:val="006C0CD0"/>
    <w:rsid w:val="00847C8B"/>
    <w:rsid w:val="008C2057"/>
    <w:rsid w:val="008C6115"/>
    <w:rsid w:val="00915D4B"/>
    <w:rsid w:val="0096123D"/>
    <w:rsid w:val="00B71D68"/>
    <w:rsid w:val="00BB22AC"/>
    <w:rsid w:val="00C12985"/>
    <w:rsid w:val="00C5361D"/>
    <w:rsid w:val="00C67933"/>
    <w:rsid w:val="00CB184B"/>
    <w:rsid w:val="00D13C1B"/>
    <w:rsid w:val="00D53041"/>
    <w:rsid w:val="00DA0DEB"/>
    <w:rsid w:val="00EF6A8E"/>
    <w:rsid w:val="00F011A9"/>
    <w:rsid w:val="00F07DDF"/>
    <w:rsid w:val="00F80291"/>
    <w:rsid w:val="00FB7D00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16</cp:revision>
  <dcterms:created xsi:type="dcterms:W3CDTF">2022-09-13T08:11:00Z</dcterms:created>
  <dcterms:modified xsi:type="dcterms:W3CDTF">2022-11-09T07:24:00Z</dcterms:modified>
</cp:coreProperties>
</file>