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12B00" w14:textId="55E95A24" w:rsidR="00FB7E44" w:rsidRDefault="00FB7E44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61F6B4EB" w14:textId="77777777" w:rsidR="00813D2D" w:rsidRDefault="00813D2D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643BEA00" w14:textId="79699143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FB7E44">
        <w:rPr>
          <w:rFonts w:cstheme="minorHAnsi"/>
          <w:b/>
          <w:bCs/>
          <w:sz w:val="24"/>
          <w:szCs w:val="24"/>
        </w:rPr>
        <w:t>2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590B12A3" w14:textId="77777777" w:rsidR="00FB7E44" w:rsidRDefault="00FB7E44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268467E" w14:textId="26E299F0" w:rsidR="000E6EF1" w:rsidRPr="000E6EF1" w:rsidRDefault="00FB7E44" w:rsidP="000E6EF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B7E44">
        <w:rPr>
          <w:rFonts w:cstheme="minorHAnsi"/>
          <w:b/>
          <w:bCs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 w:rsidR="000E6EF1" w:rsidRPr="000E6EF1">
        <w:rPr>
          <w:rFonts w:cstheme="minorHAnsi"/>
          <w:sz w:val="24"/>
          <w:szCs w:val="24"/>
        </w:rPr>
        <w:t>Στην περίπτωση (κυρίως) των φορτηγών και των εμπορευματοκιβωτίων άλλη μία κατηγοριοποίηση φορτίων που έχει πολύ μεγάλη σημασία για την επιλογή μεταφορικού</w:t>
      </w:r>
      <w:r w:rsidR="000E6EF1">
        <w:rPr>
          <w:rFonts w:cstheme="minorHAnsi"/>
          <w:sz w:val="24"/>
          <w:szCs w:val="24"/>
        </w:rPr>
        <w:t xml:space="preserve"> </w:t>
      </w:r>
      <w:r w:rsidR="000E6EF1" w:rsidRPr="000E6EF1">
        <w:rPr>
          <w:rFonts w:cstheme="minorHAnsi"/>
          <w:sz w:val="24"/>
          <w:szCs w:val="24"/>
        </w:rPr>
        <w:t xml:space="preserve">μέσου, τον τρόπο συσκευασίας τους, το κόστος μεταφοράς, την ασφάλειά τους </w:t>
      </w:r>
      <w:proofErr w:type="spellStart"/>
      <w:r w:rsidR="000E6EF1" w:rsidRPr="000E6EF1">
        <w:rPr>
          <w:rFonts w:cstheme="minorHAnsi"/>
          <w:sz w:val="24"/>
          <w:szCs w:val="24"/>
        </w:rPr>
        <w:t>κλπ</w:t>
      </w:r>
      <w:proofErr w:type="spellEnd"/>
      <w:r w:rsidR="000E6EF1" w:rsidRPr="000E6EF1">
        <w:rPr>
          <w:rFonts w:cstheme="minorHAnsi"/>
          <w:sz w:val="24"/>
          <w:szCs w:val="24"/>
        </w:rPr>
        <w:t>, είναι ο όγκος της μεταφερόμενης ποσότητας σε σχέση με το μεταφορικό μέσο.</w:t>
      </w:r>
    </w:p>
    <w:p w14:paraId="55654662" w14:textId="77777777" w:rsidR="000E6EF1" w:rsidRPr="000E6EF1" w:rsidRDefault="000E6EF1" w:rsidP="000E6EF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E6EF1">
        <w:rPr>
          <w:rFonts w:cstheme="minorHAnsi"/>
          <w:sz w:val="24"/>
          <w:szCs w:val="24"/>
        </w:rPr>
        <w:t>Έτσι θα συναντήσουμε τις περιπτώσεις:</w:t>
      </w:r>
    </w:p>
    <w:p w14:paraId="18BCF829" w14:textId="325CDBC4" w:rsidR="000E6EF1" w:rsidRPr="000E6EF1" w:rsidRDefault="000E6EF1" w:rsidP="000E6EF1">
      <w:pPr>
        <w:pStyle w:val="a4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E6EF1">
        <w:rPr>
          <w:rFonts w:cstheme="minorHAnsi"/>
          <w:sz w:val="24"/>
          <w:szCs w:val="24"/>
        </w:rPr>
        <w:t>FTL (</w:t>
      </w:r>
      <w:proofErr w:type="spellStart"/>
      <w:r w:rsidRPr="000E6EF1">
        <w:rPr>
          <w:rFonts w:cstheme="minorHAnsi"/>
          <w:sz w:val="24"/>
          <w:szCs w:val="24"/>
        </w:rPr>
        <w:t>Full</w:t>
      </w:r>
      <w:proofErr w:type="spellEnd"/>
      <w:r w:rsidRPr="000E6EF1">
        <w:rPr>
          <w:rFonts w:cstheme="minorHAnsi"/>
          <w:sz w:val="24"/>
          <w:szCs w:val="24"/>
        </w:rPr>
        <w:t xml:space="preserve"> </w:t>
      </w:r>
      <w:proofErr w:type="spellStart"/>
      <w:r w:rsidRPr="000E6EF1">
        <w:rPr>
          <w:rFonts w:cstheme="minorHAnsi"/>
          <w:sz w:val="24"/>
          <w:szCs w:val="24"/>
        </w:rPr>
        <w:t>Truck</w:t>
      </w:r>
      <w:proofErr w:type="spellEnd"/>
      <w:r w:rsidRPr="000E6EF1">
        <w:rPr>
          <w:rFonts w:cstheme="minorHAnsi"/>
          <w:sz w:val="24"/>
          <w:szCs w:val="24"/>
        </w:rPr>
        <w:t xml:space="preserve"> </w:t>
      </w:r>
      <w:proofErr w:type="spellStart"/>
      <w:r w:rsidRPr="000E6EF1">
        <w:rPr>
          <w:rFonts w:cstheme="minorHAnsi"/>
          <w:sz w:val="24"/>
          <w:szCs w:val="24"/>
        </w:rPr>
        <w:t>Load</w:t>
      </w:r>
      <w:proofErr w:type="spellEnd"/>
      <w:r w:rsidRPr="000E6EF1">
        <w:rPr>
          <w:rFonts w:cstheme="minorHAnsi"/>
          <w:sz w:val="24"/>
          <w:szCs w:val="24"/>
        </w:rPr>
        <w:t xml:space="preserve">): Ποσότητα που γεμίζει πλήρως ένα φορτηγό, συνήθως </w:t>
      </w:r>
      <w:proofErr w:type="spellStart"/>
      <w:r w:rsidRPr="000E6EF1">
        <w:rPr>
          <w:rFonts w:cstheme="minorHAnsi"/>
          <w:sz w:val="24"/>
          <w:szCs w:val="24"/>
        </w:rPr>
        <w:t>επικαθήμενο</w:t>
      </w:r>
      <w:proofErr w:type="spellEnd"/>
      <w:r w:rsidRPr="000E6EF1">
        <w:rPr>
          <w:rFonts w:cstheme="minorHAnsi"/>
          <w:sz w:val="24"/>
          <w:szCs w:val="24"/>
        </w:rPr>
        <w:t>.</w:t>
      </w:r>
    </w:p>
    <w:p w14:paraId="75AD236C" w14:textId="179A5DE1" w:rsidR="000E6EF1" w:rsidRPr="000E6EF1" w:rsidRDefault="000E6EF1" w:rsidP="000E6EF1">
      <w:pPr>
        <w:pStyle w:val="a4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E6EF1">
        <w:rPr>
          <w:rFonts w:cstheme="minorHAnsi"/>
          <w:sz w:val="24"/>
          <w:szCs w:val="24"/>
        </w:rPr>
        <w:t>LTL (</w:t>
      </w:r>
      <w:proofErr w:type="spellStart"/>
      <w:r w:rsidRPr="000E6EF1">
        <w:rPr>
          <w:rFonts w:cstheme="minorHAnsi"/>
          <w:sz w:val="24"/>
          <w:szCs w:val="24"/>
        </w:rPr>
        <w:t>Less</w:t>
      </w:r>
      <w:proofErr w:type="spellEnd"/>
      <w:r w:rsidRPr="000E6EF1">
        <w:rPr>
          <w:rFonts w:cstheme="minorHAnsi"/>
          <w:sz w:val="24"/>
          <w:szCs w:val="24"/>
        </w:rPr>
        <w:t xml:space="preserve"> </w:t>
      </w:r>
      <w:proofErr w:type="spellStart"/>
      <w:r w:rsidRPr="000E6EF1">
        <w:rPr>
          <w:rFonts w:cstheme="minorHAnsi"/>
          <w:sz w:val="24"/>
          <w:szCs w:val="24"/>
        </w:rPr>
        <w:t>Truck</w:t>
      </w:r>
      <w:proofErr w:type="spellEnd"/>
      <w:r w:rsidRPr="000E6EF1">
        <w:rPr>
          <w:rFonts w:cstheme="minorHAnsi"/>
          <w:sz w:val="24"/>
          <w:szCs w:val="24"/>
        </w:rPr>
        <w:t xml:space="preserve"> </w:t>
      </w:r>
      <w:proofErr w:type="spellStart"/>
      <w:r w:rsidRPr="000E6EF1">
        <w:rPr>
          <w:rFonts w:cstheme="minorHAnsi"/>
          <w:sz w:val="24"/>
          <w:szCs w:val="24"/>
        </w:rPr>
        <w:t>Load</w:t>
      </w:r>
      <w:proofErr w:type="spellEnd"/>
      <w:r w:rsidRPr="000E6EF1">
        <w:rPr>
          <w:rFonts w:cstheme="minorHAnsi"/>
          <w:sz w:val="24"/>
          <w:szCs w:val="24"/>
        </w:rPr>
        <w:t xml:space="preserve">): Ποσότητα που </w:t>
      </w:r>
      <w:r w:rsidR="00A166E6">
        <w:rPr>
          <w:rFonts w:cstheme="minorHAnsi"/>
          <w:sz w:val="24"/>
          <w:szCs w:val="24"/>
        </w:rPr>
        <w:t>δεν</w:t>
      </w:r>
      <w:r w:rsidRPr="000E6EF1">
        <w:rPr>
          <w:rFonts w:cstheme="minorHAnsi"/>
          <w:sz w:val="24"/>
          <w:szCs w:val="24"/>
        </w:rPr>
        <w:t xml:space="preserve"> γεμίζει πλήρως ένα φορτηγό, αλλά πραγματοποιείται </w:t>
      </w:r>
      <w:proofErr w:type="spellStart"/>
      <w:r w:rsidRPr="000E6EF1">
        <w:rPr>
          <w:rFonts w:cstheme="minorHAnsi"/>
          <w:sz w:val="24"/>
          <w:szCs w:val="24"/>
        </w:rPr>
        <w:t>συμφόρτωση</w:t>
      </w:r>
      <w:proofErr w:type="spellEnd"/>
      <w:r w:rsidRPr="000E6EF1">
        <w:rPr>
          <w:rFonts w:cstheme="minorHAnsi"/>
          <w:sz w:val="24"/>
          <w:szCs w:val="24"/>
        </w:rPr>
        <w:t xml:space="preserve"> και μεταφορά μαζί με </w:t>
      </w:r>
      <w:proofErr w:type="spellStart"/>
      <w:r w:rsidRPr="000E6EF1">
        <w:rPr>
          <w:rFonts w:cstheme="minorHAnsi"/>
          <w:sz w:val="24"/>
          <w:szCs w:val="24"/>
        </w:rPr>
        <w:t>μικροποσότητες</w:t>
      </w:r>
      <w:proofErr w:type="spellEnd"/>
      <w:r w:rsidRPr="000E6EF1">
        <w:rPr>
          <w:rFonts w:cstheme="minorHAnsi"/>
          <w:sz w:val="24"/>
          <w:szCs w:val="24"/>
        </w:rPr>
        <w:t xml:space="preserve"> φορτίων που ανήκουν σε άλλους αποστολείς / παραλήπτες.</w:t>
      </w:r>
    </w:p>
    <w:p w14:paraId="1E176CD5" w14:textId="16886DA8" w:rsidR="000E6EF1" w:rsidRPr="000E6EF1" w:rsidRDefault="000E6EF1" w:rsidP="000E6EF1">
      <w:pPr>
        <w:pStyle w:val="a4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E6EF1">
        <w:rPr>
          <w:rFonts w:cstheme="minorHAnsi"/>
          <w:sz w:val="24"/>
          <w:szCs w:val="24"/>
        </w:rPr>
        <w:t>FCL (</w:t>
      </w:r>
      <w:proofErr w:type="spellStart"/>
      <w:r w:rsidRPr="000E6EF1">
        <w:rPr>
          <w:rFonts w:cstheme="minorHAnsi"/>
          <w:sz w:val="24"/>
          <w:szCs w:val="24"/>
        </w:rPr>
        <w:t>Full</w:t>
      </w:r>
      <w:proofErr w:type="spellEnd"/>
      <w:r w:rsidRPr="000E6EF1">
        <w:rPr>
          <w:rFonts w:cstheme="minorHAnsi"/>
          <w:sz w:val="24"/>
          <w:szCs w:val="24"/>
        </w:rPr>
        <w:t xml:space="preserve"> </w:t>
      </w:r>
      <w:proofErr w:type="spellStart"/>
      <w:r w:rsidRPr="000E6EF1">
        <w:rPr>
          <w:rFonts w:cstheme="minorHAnsi"/>
          <w:sz w:val="24"/>
          <w:szCs w:val="24"/>
        </w:rPr>
        <w:t>Container</w:t>
      </w:r>
      <w:proofErr w:type="spellEnd"/>
      <w:r w:rsidRPr="000E6EF1">
        <w:rPr>
          <w:rFonts w:cstheme="minorHAnsi"/>
          <w:sz w:val="24"/>
          <w:szCs w:val="24"/>
        </w:rPr>
        <w:t xml:space="preserve"> </w:t>
      </w:r>
      <w:proofErr w:type="spellStart"/>
      <w:r w:rsidRPr="000E6EF1">
        <w:rPr>
          <w:rFonts w:cstheme="minorHAnsi"/>
          <w:sz w:val="24"/>
          <w:szCs w:val="24"/>
        </w:rPr>
        <w:t>Load</w:t>
      </w:r>
      <w:proofErr w:type="spellEnd"/>
      <w:r w:rsidRPr="000E6EF1">
        <w:rPr>
          <w:rFonts w:cstheme="minorHAnsi"/>
          <w:sz w:val="24"/>
          <w:szCs w:val="24"/>
        </w:rPr>
        <w:t xml:space="preserve">): Ποσότητα που γεμίζει πλήρως ένα </w:t>
      </w:r>
      <w:proofErr w:type="spellStart"/>
      <w:r w:rsidRPr="000E6EF1">
        <w:rPr>
          <w:rFonts w:cstheme="minorHAnsi"/>
          <w:sz w:val="24"/>
          <w:szCs w:val="24"/>
        </w:rPr>
        <w:t>container</w:t>
      </w:r>
      <w:proofErr w:type="spellEnd"/>
      <w:r w:rsidRPr="000E6EF1">
        <w:rPr>
          <w:rFonts w:cstheme="minorHAnsi"/>
          <w:sz w:val="24"/>
          <w:szCs w:val="24"/>
        </w:rPr>
        <w:t>, ανεξαρτήτως μεγέθους και τύπου.</w:t>
      </w:r>
    </w:p>
    <w:p w14:paraId="0C758051" w14:textId="5F38FD85" w:rsidR="00FB7E44" w:rsidRPr="000E6EF1" w:rsidRDefault="000E6EF1" w:rsidP="000E6EF1">
      <w:pPr>
        <w:pStyle w:val="a4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E6EF1">
        <w:rPr>
          <w:rFonts w:cstheme="minorHAnsi"/>
          <w:sz w:val="24"/>
          <w:szCs w:val="24"/>
        </w:rPr>
        <w:t>LCL (</w:t>
      </w:r>
      <w:proofErr w:type="spellStart"/>
      <w:r w:rsidRPr="000E6EF1">
        <w:rPr>
          <w:rFonts w:cstheme="minorHAnsi"/>
          <w:sz w:val="24"/>
          <w:szCs w:val="24"/>
        </w:rPr>
        <w:t>Less</w:t>
      </w:r>
      <w:proofErr w:type="spellEnd"/>
      <w:r w:rsidRPr="000E6EF1">
        <w:rPr>
          <w:rFonts w:cstheme="minorHAnsi"/>
          <w:sz w:val="24"/>
          <w:szCs w:val="24"/>
        </w:rPr>
        <w:t xml:space="preserve"> </w:t>
      </w:r>
      <w:proofErr w:type="spellStart"/>
      <w:r w:rsidRPr="000E6EF1">
        <w:rPr>
          <w:rFonts w:cstheme="minorHAnsi"/>
          <w:sz w:val="24"/>
          <w:szCs w:val="24"/>
        </w:rPr>
        <w:t>Container</w:t>
      </w:r>
      <w:proofErr w:type="spellEnd"/>
      <w:r w:rsidRPr="000E6EF1">
        <w:rPr>
          <w:rFonts w:cstheme="minorHAnsi"/>
          <w:sz w:val="24"/>
          <w:szCs w:val="24"/>
        </w:rPr>
        <w:t xml:space="preserve"> </w:t>
      </w:r>
      <w:proofErr w:type="spellStart"/>
      <w:r w:rsidRPr="000E6EF1">
        <w:rPr>
          <w:rFonts w:cstheme="minorHAnsi"/>
          <w:sz w:val="24"/>
          <w:szCs w:val="24"/>
        </w:rPr>
        <w:t>Load</w:t>
      </w:r>
      <w:proofErr w:type="spellEnd"/>
      <w:r w:rsidRPr="000E6EF1">
        <w:rPr>
          <w:rFonts w:cstheme="minorHAnsi"/>
          <w:sz w:val="24"/>
          <w:szCs w:val="24"/>
        </w:rPr>
        <w:t xml:space="preserve">): Ποσότητα που </w:t>
      </w:r>
      <w:r w:rsidR="00A166E6">
        <w:rPr>
          <w:rFonts w:cstheme="minorHAnsi"/>
          <w:sz w:val="24"/>
          <w:szCs w:val="24"/>
        </w:rPr>
        <w:t>δεν</w:t>
      </w:r>
      <w:r w:rsidRPr="000E6EF1">
        <w:rPr>
          <w:rFonts w:cstheme="minorHAnsi"/>
          <w:sz w:val="24"/>
          <w:szCs w:val="24"/>
        </w:rPr>
        <w:t xml:space="preserve"> γεμίζει ένα </w:t>
      </w:r>
      <w:proofErr w:type="spellStart"/>
      <w:r w:rsidRPr="000E6EF1">
        <w:rPr>
          <w:rFonts w:cstheme="minorHAnsi"/>
          <w:sz w:val="24"/>
          <w:szCs w:val="24"/>
        </w:rPr>
        <w:t>container</w:t>
      </w:r>
      <w:proofErr w:type="spellEnd"/>
      <w:r w:rsidRPr="000E6EF1">
        <w:rPr>
          <w:rFonts w:cstheme="minorHAnsi"/>
          <w:sz w:val="24"/>
          <w:szCs w:val="24"/>
        </w:rPr>
        <w:t xml:space="preserve">, αλλά πραγματοποιείται </w:t>
      </w:r>
      <w:proofErr w:type="spellStart"/>
      <w:r w:rsidRPr="000E6EF1">
        <w:rPr>
          <w:rFonts w:cstheme="minorHAnsi"/>
          <w:sz w:val="24"/>
          <w:szCs w:val="24"/>
        </w:rPr>
        <w:t>συμφόρτωση</w:t>
      </w:r>
      <w:proofErr w:type="spellEnd"/>
      <w:r w:rsidRPr="000E6EF1">
        <w:rPr>
          <w:rFonts w:cstheme="minorHAnsi"/>
          <w:sz w:val="24"/>
          <w:szCs w:val="24"/>
        </w:rPr>
        <w:t xml:space="preserve"> και μεταφορά μαζί με </w:t>
      </w:r>
      <w:proofErr w:type="spellStart"/>
      <w:r w:rsidRPr="000E6EF1">
        <w:rPr>
          <w:rFonts w:cstheme="minorHAnsi"/>
          <w:sz w:val="24"/>
          <w:szCs w:val="24"/>
        </w:rPr>
        <w:t>μικροποσότητες</w:t>
      </w:r>
      <w:proofErr w:type="spellEnd"/>
      <w:r w:rsidRPr="000E6EF1">
        <w:rPr>
          <w:rFonts w:cstheme="minorHAnsi"/>
          <w:sz w:val="24"/>
          <w:szCs w:val="24"/>
        </w:rPr>
        <w:t xml:space="preserve"> φορτίων που ανήκουν σε άλλους αποστολείς / παραλήπτες.</w:t>
      </w:r>
    </w:p>
    <w:p w14:paraId="0BF478F9" w14:textId="77777777" w:rsidR="000E6EF1" w:rsidRDefault="000E6EF1" w:rsidP="000E6EF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FDFB86D" w14:textId="711E5011" w:rsidR="000E6EF1" w:rsidRPr="000E6EF1" w:rsidRDefault="00FB7E44" w:rsidP="00A166E6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Pr="00FB7E44">
        <w:rPr>
          <w:rFonts w:cstheme="minorHAnsi"/>
          <w:b/>
          <w:bCs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 w:rsidR="000E6EF1" w:rsidRPr="000E6EF1">
        <w:rPr>
          <w:rFonts w:cstheme="minorHAnsi"/>
          <w:sz w:val="24"/>
          <w:szCs w:val="24"/>
        </w:rPr>
        <w:t>Για την περίπτωση των φορτηγών προκύπτει ένας ακόμη διαχωρισμός, ο οποίος αφορά το ιδιοκτησιακό καθεστώς αυτών.</w:t>
      </w:r>
      <w:r w:rsidR="00A166E6">
        <w:rPr>
          <w:rFonts w:cstheme="minorHAnsi"/>
          <w:sz w:val="24"/>
          <w:szCs w:val="24"/>
        </w:rPr>
        <w:t xml:space="preserve"> </w:t>
      </w:r>
      <w:r w:rsidR="000E6EF1" w:rsidRPr="000E6EF1">
        <w:rPr>
          <w:rFonts w:cstheme="minorHAnsi"/>
          <w:sz w:val="24"/>
          <w:szCs w:val="24"/>
        </w:rPr>
        <w:t>Σε αυτή την περίπτωση συναντούμε τις μορφές:</w:t>
      </w:r>
    </w:p>
    <w:p w14:paraId="5452DC54" w14:textId="3386F0C9" w:rsidR="000E6EF1" w:rsidRPr="000E6EF1" w:rsidRDefault="000E6EF1" w:rsidP="000E6EF1">
      <w:pPr>
        <w:pStyle w:val="a4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E6EF1">
        <w:rPr>
          <w:rFonts w:cstheme="minorHAnsi"/>
          <w:sz w:val="24"/>
          <w:szCs w:val="24"/>
        </w:rPr>
        <w:t>Φορτηγά Ιδιωτικής Χρήσης (ΦΙΧ): Ανήκουν σε παραγωγική ή εμπορική επιχείρηση και χρησιμοποιούνται αποκλειστικά και μόνο από την ίδια για τις δικές της ανάγκες (πχ αγορά πρώτων υλών, πώληση προϊόντων της, μεταφοράς εξοπλισμού της σε συνεργεία προς επισκευή, κλπ.).</w:t>
      </w:r>
    </w:p>
    <w:p w14:paraId="3CA0B279" w14:textId="32F2891F" w:rsidR="000E6EF1" w:rsidRPr="000E6EF1" w:rsidRDefault="000E6EF1" w:rsidP="000E6EF1">
      <w:pPr>
        <w:pStyle w:val="a4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E6EF1">
        <w:rPr>
          <w:rFonts w:cstheme="minorHAnsi"/>
          <w:sz w:val="24"/>
          <w:szCs w:val="24"/>
        </w:rPr>
        <w:t>Φορτηγά Δημόσιας Χρήσης (ΦΔΧ): Ανήκουν σε αυτοκινητιστές ή μεταφορικές επιχειρήσεις και χρησιμοποιούνται για μεταφορές τρίτων. Είναι δηλαδή κάτι αντίστοιχο</w:t>
      </w:r>
      <w:r w:rsidR="00A166E6">
        <w:rPr>
          <w:rFonts w:cstheme="minorHAnsi"/>
          <w:sz w:val="24"/>
          <w:szCs w:val="24"/>
        </w:rPr>
        <w:t>,</w:t>
      </w:r>
      <w:r w:rsidRPr="000E6EF1">
        <w:rPr>
          <w:rFonts w:cstheme="minorHAnsi"/>
          <w:sz w:val="24"/>
          <w:szCs w:val="24"/>
        </w:rPr>
        <w:t xml:space="preserve"> όπως τα ταξί για τους επιβάτες.</w:t>
      </w:r>
    </w:p>
    <w:p w14:paraId="2743F0BD" w14:textId="69A5502F" w:rsidR="00034FAB" w:rsidRDefault="000E6EF1" w:rsidP="000E6EF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E6EF1">
        <w:rPr>
          <w:rFonts w:cstheme="minorHAnsi"/>
          <w:sz w:val="24"/>
          <w:szCs w:val="24"/>
        </w:rPr>
        <w:t>Να αναφέρουμε εδώ ότι πολύ μεγάλες εταιρείες μπορούν να διαθέτουν ιδιόκτητα</w:t>
      </w:r>
      <w:r>
        <w:rPr>
          <w:rFonts w:cstheme="minorHAnsi"/>
          <w:sz w:val="24"/>
          <w:szCs w:val="24"/>
        </w:rPr>
        <w:t xml:space="preserve"> </w:t>
      </w:r>
      <w:r w:rsidRPr="000E6EF1">
        <w:rPr>
          <w:rFonts w:cstheme="minorHAnsi"/>
          <w:sz w:val="24"/>
          <w:szCs w:val="24"/>
        </w:rPr>
        <w:t xml:space="preserve">πλοία για τις μεταφορές των προϊόντων </w:t>
      </w:r>
      <w:r>
        <w:rPr>
          <w:rFonts w:cstheme="minorHAnsi"/>
          <w:sz w:val="24"/>
          <w:szCs w:val="24"/>
        </w:rPr>
        <w:t>τους.</w:t>
      </w:r>
    </w:p>
    <w:sectPr w:rsidR="00034FAB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80223"/>
    <w:multiLevelType w:val="hybridMultilevel"/>
    <w:tmpl w:val="E60CFC1A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B00636"/>
    <w:multiLevelType w:val="hybridMultilevel"/>
    <w:tmpl w:val="669E45AC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309633">
    <w:abstractNumId w:val="1"/>
  </w:num>
  <w:num w:numId="2" w16cid:durableId="1863476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34FAB"/>
    <w:rsid w:val="000E6EF1"/>
    <w:rsid w:val="003115BC"/>
    <w:rsid w:val="0032412E"/>
    <w:rsid w:val="003C3C77"/>
    <w:rsid w:val="00436380"/>
    <w:rsid w:val="004F4578"/>
    <w:rsid w:val="005038CC"/>
    <w:rsid w:val="00576914"/>
    <w:rsid w:val="00813D2D"/>
    <w:rsid w:val="00847C8B"/>
    <w:rsid w:val="008C2057"/>
    <w:rsid w:val="008C6115"/>
    <w:rsid w:val="00915D4B"/>
    <w:rsid w:val="0096123D"/>
    <w:rsid w:val="00A166E6"/>
    <w:rsid w:val="00BB22AC"/>
    <w:rsid w:val="00C12985"/>
    <w:rsid w:val="00C5361D"/>
    <w:rsid w:val="00C67933"/>
    <w:rsid w:val="00C949C2"/>
    <w:rsid w:val="00CB184B"/>
    <w:rsid w:val="00D13C1B"/>
    <w:rsid w:val="00D53041"/>
    <w:rsid w:val="00DA0DEB"/>
    <w:rsid w:val="00EF6A8E"/>
    <w:rsid w:val="00F011A9"/>
    <w:rsid w:val="00F07DDF"/>
    <w:rsid w:val="00F80291"/>
    <w:rsid w:val="00FB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4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263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17</cp:revision>
  <dcterms:created xsi:type="dcterms:W3CDTF">2022-09-13T08:11:00Z</dcterms:created>
  <dcterms:modified xsi:type="dcterms:W3CDTF">2023-04-08T18:06:00Z</dcterms:modified>
</cp:coreProperties>
</file>