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47298" w14:textId="30F1E1B9" w:rsidR="00D27331" w:rsidRDefault="00D27331" w:rsidP="00DF06B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C705446" w14:textId="4B29328A" w:rsidR="003C600B" w:rsidRDefault="003C600B" w:rsidP="003C600B">
      <w:pPr>
        <w:spacing w:line="360" w:lineRule="auto"/>
        <w:rPr>
          <w:rFonts w:ascii="Cambria Math" w:hAnsi="Cambria Math"/>
          <w:sz w:val="24"/>
          <w:szCs w:val="24"/>
        </w:rPr>
      </w:pPr>
      <w:r>
        <w:rPr>
          <w:sz w:val="24"/>
          <w:szCs w:val="24"/>
        </w:rPr>
        <w:t>α) Το πεδίο ορι</w:t>
      </w:r>
      <w:bookmarkStart w:id="0" w:name="_GoBack"/>
      <w:bookmarkEnd w:id="0"/>
      <w:r>
        <w:rPr>
          <w:sz w:val="24"/>
          <w:szCs w:val="24"/>
        </w:rPr>
        <w:t xml:space="preserve">σμού της συνάρτησης </w:t>
      </w:r>
      <w:r>
        <w:rPr>
          <w:sz w:val="24"/>
          <w:szCs w:val="24"/>
          <w:lang w:val="en-US"/>
        </w:rPr>
        <w:t>f</w:t>
      </w:r>
      <w:r w:rsidRPr="00D27331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το</w:t>
      </w:r>
      <w:r>
        <w:rPr>
          <w:rFonts w:ascii="Cambria Math" w:hAnsi="Cambria Math"/>
          <w:sz w:val="24"/>
          <w:szCs w:val="24"/>
        </w:rPr>
        <w:t xml:space="preserve"> </w:t>
      </w:r>
      <m:oMath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rFonts w:ascii="Cambria Math" w:hAnsi="Cambria Math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-{-2}</m:t>
        </m:r>
      </m:oMath>
      <w:r>
        <w:rPr>
          <w:rFonts w:ascii="Cambria Math" w:hAnsi="Cambria Math"/>
          <w:sz w:val="24"/>
          <w:szCs w:val="24"/>
        </w:rPr>
        <w:t xml:space="preserve"> Η συνάρτηση </w:t>
      </w:r>
      <w:r>
        <w:rPr>
          <w:rFonts w:ascii="Cambria Math" w:hAnsi="Cambria Math"/>
          <w:sz w:val="24"/>
          <w:szCs w:val="24"/>
          <w:lang w:val="en-US"/>
        </w:rPr>
        <w:t>g</w:t>
      </w:r>
      <w:r>
        <w:rPr>
          <w:rFonts w:ascii="Cambria Math" w:hAnsi="Cambria Math"/>
          <w:sz w:val="24"/>
          <w:szCs w:val="24"/>
        </w:rPr>
        <w:t xml:space="preserve"> ορίζεται για κάθε 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  <w:lang w:val="en-US"/>
        </w:rPr>
        <w:t>x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  <w:lang w:val="en-US"/>
        </w:rPr>
        <w:sym w:font="Symbol" w:char="F0CE"/>
      </w:r>
      <w:r w:rsidRPr="003C600B">
        <w:rPr>
          <w:rFonts w:ascii="Cambria Math" w:hAnsi="Cambria Math"/>
          <w:sz w:val="24"/>
          <w:szCs w:val="24"/>
        </w:rPr>
        <w:t xml:space="preserve"> </w:t>
      </w:r>
      <m:oMath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 w:rsidRPr="00D27331">
        <w:rPr>
          <w:rFonts w:ascii="Cambria Math" w:hAnsi="Cambria Math"/>
          <w:sz w:val="24"/>
          <w:szCs w:val="24"/>
        </w:rPr>
        <w:t xml:space="preserve">. </w:t>
      </w:r>
      <w:r>
        <w:rPr>
          <w:rFonts w:ascii="Cambria Math" w:hAnsi="Cambria Math"/>
          <w:sz w:val="24"/>
          <w:szCs w:val="24"/>
        </w:rPr>
        <w:t xml:space="preserve">Οι συναρτήσεις </w:t>
      </w:r>
      <w:r>
        <w:rPr>
          <w:rFonts w:ascii="Cambria Math" w:hAnsi="Cambria Math"/>
          <w:sz w:val="24"/>
          <w:szCs w:val="24"/>
          <w:lang w:val="en-US"/>
        </w:rPr>
        <w:t>f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 xml:space="preserve">και </w:t>
      </w:r>
      <w:r>
        <w:rPr>
          <w:rFonts w:ascii="Cambria Math" w:hAnsi="Cambria Math"/>
          <w:sz w:val="24"/>
          <w:szCs w:val="24"/>
          <w:lang w:val="en-US"/>
        </w:rPr>
        <w:t>g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έχουν διαφορετικό πεδίο ορισμού, οπότε δεν μπορεί να είναι ίσες.</w:t>
      </w:r>
    </w:p>
    <w:p w14:paraId="1C5DC76A" w14:textId="04EE00ED" w:rsidR="003C600B" w:rsidRDefault="003C600B" w:rsidP="003C600B">
      <w:pPr>
        <w:spacing w:line="36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β) Η </w:t>
      </w:r>
      <w:r>
        <w:rPr>
          <w:rFonts w:ascii="Cambria Math" w:hAnsi="Cambria Math"/>
          <w:sz w:val="24"/>
          <w:szCs w:val="24"/>
          <w:lang w:val="en-US"/>
        </w:rPr>
        <w:t>f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 xml:space="preserve">ορίζεται στο σύνολο </w:t>
      </w:r>
      <w:bookmarkStart w:id="1" w:name="_Hlk118447862"/>
      <m:oMath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bookmarkEnd w:id="1"/>
      <w:r>
        <w:rPr>
          <w:rFonts w:ascii="Cambria Math" w:hAnsi="Cambria Math"/>
          <w:sz w:val="24"/>
          <w:szCs w:val="24"/>
        </w:rPr>
        <w:t xml:space="preserve"> −{-2} και για κάθε </w:t>
      </w:r>
      <w:r>
        <w:rPr>
          <w:rFonts w:ascii="Cambria Math" w:hAnsi="Cambria Math"/>
          <w:sz w:val="24"/>
          <w:szCs w:val="24"/>
          <w:lang w:val="en-US"/>
        </w:rPr>
        <w:t>x</w:t>
      </w:r>
      <w:r w:rsidRPr="00D27331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sym w:font="Symbol" w:char="F0B9"/>
      </w:r>
      <w:r w:rsidRPr="00D27331">
        <w:rPr>
          <w:rFonts w:ascii="Cambria Math" w:hAnsi="Cambria Math"/>
          <w:sz w:val="24"/>
          <w:szCs w:val="24"/>
        </w:rPr>
        <w:t xml:space="preserve"> -2 </w:t>
      </w:r>
      <w:r>
        <w:rPr>
          <w:rFonts w:ascii="Cambria Math" w:hAnsi="Cambria Math"/>
          <w:sz w:val="24"/>
          <w:szCs w:val="24"/>
        </w:rPr>
        <w:t xml:space="preserve">ισχύει </w:t>
      </w:r>
    </w:p>
    <w:p w14:paraId="4A6D3F43" w14:textId="39A63A7F" w:rsidR="003C600B" w:rsidRDefault="003C600B" w:rsidP="003C600B">
      <w:pPr>
        <w:spacing w:line="360" w:lineRule="auto"/>
        <w:rPr>
          <w:sz w:val="24"/>
          <w:szCs w:val="24"/>
        </w:rPr>
      </w:pPr>
      <w:r>
        <w:rPr>
          <w:rFonts w:ascii="Cambria Math" w:hAnsi="Cambria Math"/>
          <w:sz w:val="24"/>
          <w:szCs w:val="24"/>
          <w:lang w:val="en-US"/>
        </w:rPr>
        <w:t>f</w:t>
      </w:r>
      <w:r w:rsidRPr="003453FC">
        <w:rPr>
          <w:rFonts w:ascii="Cambria Math" w:hAnsi="Cambria Math"/>
          <w:sz w:val="24"/>
          <w:szCs w:val="24"/>
        </w:rPr>
        <w:t>(</w:t>
      </w:r>
      <w:r>
        <w:rPr>
          <w:rFonts w:ascii="Cambria Math" w:hAnsi="Cambria Math"/>
          <w:sz w:val="24"/>
          <w:szCs w:val="24"/>
          <w:lang w:val="en-US"/>
        </w:rPr>
        <w:t>x</w:t>
      </w:r>
      <w:r w:rsidRPr="003453FC">
        <w:rPr>
          <w:rFonts w:ascii="Cambria Math" w:hAnsi="Cambria Math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</m:oMath>
      <w:r w:rsidRPr="003453FC">
        <w:rPr>
          <w:rFonts w:ascii="Cambria Math" w:hAnsi="Cambria Math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</m:oMath>
      <w:r w:rsidRPr="003453FC">
        <w:rPr>
          <w:rFonts w:ascii="Cambria Math" w:hAnsi="Cambria Math"/>
          <w:sz w:val="28"/>
          <w:szCs w:val="28"/>
        </w:rPr>
        <w:t xml:space="preserve"> = </w:t>
      </w:r>
      <w:r w:rsidRPr="003453FC">
        <w:rPr>
          <w:rFonts w:ascii="Cambria Math" w:hAnsi="Cambria Math"/>
          <w:sz w:val="24"/>
          <w:szCs w:val="24"/>
          <w:lang w:val="en-US"/>
        </w:rPr>
        <w:t>x</w:t>
      </w:r>
      <w:r w:rsidRPr="003453FC">
        <w:rPr>
          <w:rFonts w:ascii="Cambria Math" w:hAnsi="Cambria Math"/>
          <w:sz w:val="24"/>
          <w:szCs w:val="24"/>
        </w:rPr>
        <w:t>-2.</w:t>
      </w:r>
      <w:r>
        <w:rPr>
          <w:rFonts w:ascii="Cambria Math" w:hAnsi="Cambria Math"/>
          <w:sz w:val="24"/>
          <w:szCs w:val="24"/>
        </w:rPr>
        <w:t xml:space="preserve"> </w:t>
      </w:r>
    </w:p>
    <w:p w14:paraId="12FA8E75" w14:textId="67D02759" w:rsidR="00D27331" w:rsidRDefault="003453FC" w:rsidP="00DF06BD">
      <w:pPr>
        <w:spacing w:line="36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Οπότε η γραφική της παράσταση </w:t>
      </w:r>
      <w:r w:rsidR="00BE3B8B">
        <w:rPr>
          <w:rFonts w:ascii="Cambria Math" w:hAnsi="Cambria Math"/>
          <w:sz w:val="24"/>
          <w:szCs w:val="24"/>
        </w:rPr>
        <w:t xml:space="preserve">της </w:t>
      </w:r>
      <w:r w:rsidR="00BE3B8B">
        <w:rPr>
          <w:rFonts w:ascii="Cambria Math" w:hAnsi="Cambria Math"/>
          <w:sz w:val="24"/>
          <w:szCs w:val="24"/>
          <w:lang w:val="en-US"/>
        </w:rPr>
        <w:t>f</w:t>
      </w:r>
      <w:r w:rsidR="00BE3B8B" w:rsidRPr="00BE3B8B">
        <w:rPr>
          <w:rFonts w:ascii="Cambria Math" w:hAnsi="Cambria Math"/>
          <w:sz w:val="24"/>
          <w:szCs w:val="24"/>
        </w:rPr>
        <w:t xml:space="preserve"> </w:t>
      </w:r>
      <w:r w:rsidR="00BE3B8B">
        <w:rPr>
          <w:rFonts w:ascii="Cambria Math" w:hAnsi="Cambria Math"/>
          <w:sz w:val="24"/>
          <w:szCs w:val="24"/>
        </w:rPr>
        <w:t xml:space="preserve">ταυτίζεται με τη γραφική παράσταση της συνάρτησης </w:t>
      </w:r>
      <w:r w:rsidR="00BE3B8B">
        <w:rPr>
          <w:rFonts w:ascii="Cambria Math" w:hAnsi="Cambria Math"/>
          <w:sz w:val="24"/>
          <w:szCs w:val="24"/>
          <w:lang w:val="en-US"/>
        </w:rPr>
        <w:t>g</w:t>
      </w:r>
      <w:r w:rsidR="00BE3B8B" w:rsidRPr="00BE3B8B">
        <w:rPr>
          <w:rFonts w:ascii="Cambria Math" w:hAnsi="Cambria Math"/>
          <w:sz w:val="24"/>
          <w:szCs w:val="24"/>
        </w:rPr>
        <w:t xml:space="preserve"> </w:t>
      </w:r>
      <w:r w:rsidR="00BE3B8B">
        <w:rPr>
          <w:rFonts w:ascii="Cambria Math" w:hAnsi="Cambria Math"/>
          <w:sz w:val="24"/>
          <w:szCs w:val="24"/>
        </w:rPr>
        <w:t xml:space="preserve">για κάθε </w:t>
      </w:r>
      <w:r w:rsidR="00BE3B8B">
        <w:rPr>
          <w:rFonts w:ascii="Cambria Math" w:hAnsi="Cambria Math"/>
          <w:sz w:val="24"/>
          <w:szCs w:val="24"/>
          <w:lang w:val="en-US"/>
        </w:rPr>
        <w:t>x</w:t>
      </w:r>
      <w:r w:rsidR="00BE3B8B" w:rsidRPr="00D27331">
        <w:rPr>
          <w:rFonts w:ascii="Cambria Math" w:hAnsi="Cambria Math"/>
          <w:sz w:val="24"/>
          <w:szCs w:val="24"/>
        </w:rPr>
        <w:t xml:space="preserve"> </w:t>
      </w:r>
      <w:r w:rsidR="00BE3B8B">
        <w:rPr>
          <w:rFonts w:ascii="Cambria Math" w:hAnsi="Cambria Math"/>
          <w:sz w:val="24"/>
          <w:szCs w:val="24"/>
        </w:rPr>
        <w:sym w:font="Symbol" w:char="F0B9"/>
      </w:r>
      <w:r w:rsidR="00BE3B8B" w:rsidRPr="00D27331">
        <w:rPr>
          <w:rFonts w:ascii="Cambria Math" w:hAnsi="Cambria Math"/>
          <w:sz w:val="24"/>
          <w:szCs w:val="24"/>
        </w:rPr>
        <w:t xml:space="preserve"> -2 </w:t>
      </w:r>
      <w:r w:rsidR="00BE3B8B">
        <w:rPr>
          <w:rFonts w:ascii="Cambria Math" w:hAnsi="Cambria Math"/>
          <w:sz w:val="24"/>
          <w:szCs w:val="24"/>
        </w:rPr>
        <w:t xml:space="preserve">και </w:t>
      </w:r>
      <w:r>
        <w:rPr>
          <w:rFonts w:ascii="Cambria Math" w:hAnsi="Cambria Math"/>
          <w:sz w:val="24"/>
          <w:szCs w:val="24"/>
        </w:rPr>
        <w:t>είναι η ακόλουθη:</w:t>
      </w:r>
    </w:p>
    <w:p w14:paraId="5BEF0900" w14:textId="799749B4" w:rsidR="003453FC" w:rsidRDefault="00331390" w:rsidP="00331390">
      <w:pPr>
        <w:spacing w:line="360" w:lineRule="auto"/>
        <w:jc w:val="center"/>
        <w:rPr>
          <w:rFonts w:ascii="Cambria Math" w:hAnsi="Cambria Math"/>
          <w:sz w:val="24"/>
          <w:szCs w:val="24"/>
        </w:rPr>
      </w:pPr>
      <w:r w:rsidRPr="00331390">
        <w:rPr>
          <w:rFonts w:ascii="Cambria Math" w:hAnsi="Cambria Math"/>
          <w:noProof/>
          <w:sz w:val="24"/>
          <w:szCs w:val="24"/>
          <w:lang w:eastAsia="el-GR"/>
        </w:rPr>
        <w:drawing>
          <wp:inline distT="0" distB="0" distL="0" distR="0" wp14:anchorId="25209F4C" wp14:editId="799EACCD">
            <wp:extent cx="2524125" cy="2524125"/>
            <wp:effectExtent l="0" t="0" r="9525" b="9525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3DEE" w14:textId="273F0EF5" w:rsidR="003453FC" w:rsidRDefault="003453FC" w:rsidP="00DF06BD">
      <w:pPr>
        <w:spacing w:line="360" w:lineRule="auto"/>
        <w:rPr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Η γραφική παράσταση της συνάρτησης </w:t>
      </w:r>
      <w:r>
        <w:rPr>
          <w:sz w:val="24"/>
          <w:szCs w:val="24"/>
        </w:rPr>
        <w:t>h</w:t>
      </w:r>
      <w:r w:rsidRPr="0006304A">
        <w:rPr>
          <w:sz w:val="24"/>
          <w:szCs w:val="24"/>
        </w:rPr>
        <w:t>,</w:t>
      </w:r>
      <w:r>
        <w:rPr>
          <w:sz w:val="24"/>
          <w:szCs w:val="24"/>
        </w:rPr>
        <w:t xml:space="preserve"> με </w:t>
      </w:r>
      <w:r>
        <w:rPr>
          <w:sz w:val="24"/>
          <w:szCs w:val="24"/>
          <w:lang w:val="en-US"/>
        </w:rPr>
        <w:t>h</w:t>
      </w:r>
      <w:r w:rsidRPr="0006304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06304A">
        <w:rPr>
          <w:sz w:val="24"/>
          <w:szCs w:val="24"/>
        </w:rPr>
        <w:t xml:space="preserve">) </w:t>
      </w:r>
      <w:r>
        <w:rPr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e>
        </m:d>
      </m:oMath>
      <w:r>
        <w:rPr>
          <w:sz w:val="24"/>
          <w:szCs w:val="24"/>
        </w:rPr>
        <w:t xml:space="preserve"> αποτελείται από τα τμήματα της </w:t>
      </w:r>
      <w:r>
        <w:rPr>
          <w:sz w:val="24"/>
          <w:szCs w:val="24"/>
          <w:lang w:val="en-US"/>
        </w:rPr>
        <w:t>C</w:t>
      </w:r>
      <w:r w:rsidRPr="003453FC">
        <w:rPr>
          <w:sz w:val="24"/>
          <w:szCs w:val="24"/>
          <w:vertAlign w:val="subscript"/>
          <w:lang w:val="en-US"/>
        </w:rPr>
        <w:t>g</w:t>
      </w:r>
      <w:r w:rsidRPr="003453FC">
        <w:rPr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που βρίσκονται </w:t>
      </w:r>
      <w:r w:rsidR="00584D9B">
        <w:rPr>
          <w:sz w:val="24"/>
          <w:szCs w:val="24"/>
        </w:rPr>
        <w:t>σ</w:t>
      </w:r>
      <w:r>
        <w:rPr>
          <w:sz w:val="24"/>
          <w:szCs w:val="24"/>
        </w:rPr>
        <w:t xml:space="preserve">τον άξονα </w:t>
      </w:r>
      <w:r>
        <w:rPr>
          <w:sz w:val="24"/>
          <w:szCs w:val="24"/>
          <w:lang w:val="en-US"/>
        </w:rPr>
        <w:t>x</w:t>
      </w:r>
      <w:r w:rsidRPr="003453FC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x</w:t>
      </w:r>
      <w:r w:rsidRPr="003453FC">
        <w:rPr>
          <w:sz w:val="24"/>
          <w:szCs w:val="24"/>
        </w:rPr>
        <w:t xml:space="preserve"> </w:t>
      </w:r>
      <w:r w:rsidR="00584D9B">
        <w:rPr>
          <w:sz w:val="24"/>
          <w:szCs w:val="24"/>
        </w:rPr>
        <w:t xml:space="preserve">και πάνω από αυτόν, </w:t>
      </w:r>
      <w:r>
        <w:rPr>
          <w:sz w:val="24"/>
          <w:szCs w:val="24"/>
        </w:rPr>
        <w:t xml:space="preserve">και από τα συμμετρικά, ως προς τον άξονα  </w:t>
      </w:r>
      <w:r>
        <w:rPr>
          <w:sz w:val="24"/>
          <w:szCs w:val="24"/>
          <w:lang w:val="en-US"/>
        </w:rPr>
        <w:t>x</w:t>
      </w:r>
      <w:r w:rsidRPr="003453FC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, των τμημάτων της </w:t>
      </w:r>
      <w:r>
        <w:rPr>
          <w:sz w:val="24"/>
          <w:szCs w:val="24"/>
          <w:lang w:val="en-US"/>
        </w:rPr>
        <w:t>C</w:t>
      </w:r>
      <w:r w:rsidRPr="003453FC">
        <w:rPr>
          <w:sz w:val="24"/>
          <w:szCs w:val="24"/>
          <w:vertAlign w:val="subscript"/>
          <w:lang w:val="en-US"/>
        </w:rPr>
        <w:t>g</w:t>
      </w:r>
      <w:r w:rsidRPr="003453FC">
        <w:rPr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>που βρίσκονται κάτω από τον άξονα αυτόν.</w:t>
      </w:r>
      <w:r w:rsidR="00BE3B8B">
        <w:rPr>
          <w:sz w:val="24"/>
          <w:szCs w:val="24"/>
        </w:rPr>
        <w:t xml:space="preserve"> Οπότε η γραφική παράσταση της συνάρτησης </w:t>
      </w:r>
      <w:r w:rsidR="00BE3B8B">
        <w:rPr>
          <w:sz w:val="24"/>
          <w:szCs w:val="24"/>
          <w:lang w:val="en-US"/>
        </w:rPr>
        <w:t>h</w:t>
      </w:r>
      <w:r w:rsidR="00BE3B8B" w:rsidRPr="00BE3B8B">
        <w:rPr>
          <w:sz w:val="24"/>
          <w:szCs w:val="24"/>
        </w:rPr>
        <w:t xml:space="preserve"> </w:t>
      </w:r>
      <w:r w:rsidR="00BE3B8B">
        <w:rPr>
          <w:sz w:val="24"/>
          <w:szCs w:val="24"/>
        </w:rPr>
        <w:t>είναι η ακόλουθη :</w:t>
      </w:r>
    </w:p>
    <w:p w14:paraId="31F424A6" w14:textId="2689D008" w:rsidR="00BE3B8B" w:rsidRDefault="00584D9B" w:rsidP="00584D9B">
      <w:pPr>
        <w:spacing w:line="360" w:lineRule="auto"/>
        <w:jc w:val="center"/>
        <w:rPr>
          <w:sz w:val="24"/>
          <w:szCs w:val="24"/>
        </w:rPr>
      </w:pPr>
      <w:r w:rsidRPr="00584D9B">
        <w:rPr>
          <w:noProof/>
          <w:sz w:val="24"/>
          <w:szCs w:val="24"/>
          <w:lang w:eastAsia="el-GR"/>
        </w:rPr>
        <w:drawing>
          <wp:inline distT="0" distB="0" distL="0" distR="0" wp14:anchorId="721E558A" wp14:editId="1F401365">
            <wp:extent cx="2800350" cy="2647147"/>
            <wp:effectExtent l="0" t="0" r="0" b="127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63" cy="267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8D3B" w14:textId="77777777" w:rsidR="009F4A88" w:rsidRDefault="00BE3B8B" w:rsidP="009F4A8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γ)</w:t>
      </w:r>
      <w:r w:rsidR="009F4A88" w:rsidRPr="009F4A88">
        <w:rPr>
          <w:sz w:val="24"/>
          <w:szCs w:val="24"/>
        </w:rPr>
        <w:t xml:space="preserve"> </w:t>
      </w:r>
      <w:r w:rsidRPr="009F4A88">
        <w:rPr>
          <w:sz w:val="24"/>
          <w:szCs w:val="24"/>
        </w:rPr>
        <w:t>Όπως προκύπτει από τις</w:t>
      </w:r>
      <w:r w:rsidR="00D3543C" w:rsidRPr="009F4A88">
        <w:rPr>
          <w:sz w:val="24"/>
          <w:szCs w:val="24"/>
        </w:rPr>
        <w:t xml:space="preserve"> γραφικές παραστάσεις,</w:t>
      </w:r>
      <w:r w:rsidRPr="009F4A88">
        <w:rPr>
          <w:sz w:val="24"/>
          <w:szCs w:val="24"/>
        </w:rPr>
        <w:t xml:space="preserve"> η συνάρτηση </w:t>
      </w:r>
      <w:r w:rsidRPr="009F4A88">
        <w:rPr>
          <w:sz w:val="24"/>
          <w:szCs w:val="24"/>
          <w:lang w:val="en-US"/>
        </w:rPr>
        <w:t>f</w:t>
      </w:r>
      <w:r w:rsidRPr="009F4A88">
        <w:rPr>
          <w:sz w:val="24"/>
          <w:szCs w:val="24"/>
        </w:rPr>
        <w:t xml:space="preserve"> είναι γνησίως αύξουσα στο πεδίο ορισμού της</w:t>
      </w:r>
      <w:r w:rsidR="009F4A88" w:rsidRPr="009F4A88">
        <w:rPr>
          <w:sz w:val="24"/>
          <w:szCs w:val="24"/>
        </w:rPr>
        <w:t xml:space="preserve"> </w:t>
      </w:r>
      <w:r w:rsidR="009F4A88">
        <w:rPr>
          <w:sz w:val="24"/>
          <w:szCs w:val="24"/>
        </w:rPr>
        <w:t>και δεν έχει ακρότατα.</w:t>
      </w:r>
    </w:p>
    <w:p w14:paraId="7E2EC7B2" w14:textId="34CE7743" w:rsidR="00BE3B8B" w:rsidRPr="009F4A88" w:rsidRDefault="009F4A88" w:rsidP="009F4A8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Ε</w:t>
      </w:r>
      <w:r w:rsidR="00BE3B8B" w:rsidRPr="009F4A88">
        <w:rPr>
          <w:sz w:val="24"/>
          <w:szCs w:val="24"/>
        </w:rPr>
        <w:t>νώ</w:t>
      </w:r>
      <w:r>
        <w:rPr>
          <w:sz w:val="24"/>
          <w:szCs w:val="24"/>
        </w:rPr>
        <w:t>,</w:t>
      </w:r>
      <w:r w:rsidR="00BE3B8B" w:rsidRPr="009F4A88">
        <w:rPr>
          <w:sz w:val="24"/>
          <w:szCs w:val="24"/>
        </w:rPr>
        <w:t xml:space="preserve"> η συνάρτηση </w:t>
      </w:r>
      <w:r w:rsidR="00BE3B8B" w:rsidRPr="009F4A88">
        <w:rPr>
          <w:sz w:val="24"/>
          <w:szCs w:val="24"/>
          <w:lang w:val="en-US"/>
        </w:rPr>
        <w:t>h</w:t>
      </w:r>
      <w:r w:rsidR="00BE3B8B" w:rsidRPr="009F4A88">
        <w:rPr>
          <w:sz w:val="24"/>
          <w:szCs w:val="24"/>
        </w:rPr>
        <w:t xml:space="preserve"> δεν είναι γνησίως μονότονη στο πεδίο ορισμού </w:t>
      </w:r>
      <w:r w:rsidR="00046B38" w:rsidRPr="009F4A88">
        <w:rPr>
          <w:sz w:val="24"/>
          <w:szCs w:val="24"/>
        </w:rPr>
        <w:t>της, γιατί είναι γνησίως φθίνουσα στο (-</w:t>
      </w:r>
      <w:r w:rsidR="00046B38" w:rsidRPr="009F4A88">
        <w:rPr>
          <w:rFonts w:ascii="Times New Roman" w:hAnsi="Times New Roman"/>
          <w:sz w:val="24"/>
          <w:szCs w:val="24"/>
        </w:rPr>
        <w:t>∞, 2] και γνησίως αύξουσα στο διάστημα [2, + ∞).</w:t>
      </w:r>
      <w:r w:rsidR="00BE3B8B" w:rsidRPr="009F4A88">
        <w:rPr>
          <w:sz w:val="24"/>
          <w:szCs w:val="24"/>
        </w:rPr>
        <w:t xml:space="preserve"> </w:t>
      </w:r>
    </w:p>
    <w:p w14:paraId="48FAD6A1" w14:textId="3091C1C7" w:rsidR="00BE3B8B" w:rsidRPr="009F4A88" w:rsidRDefault="009F4A88" w:rsidP="00DF06BD">
      <w:pPr>
        <w:spacing w:line="36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συνάρτηση </w:t>
      </w:r>
      <w:r>
        <w:rPr>
          <w:sz w:val="24"/>
          <w:szCs w:val="24"/>
          <w:lang w:val="en-US"/>
        </w:rPr>
        <w:t>h</w:t>
      </w:r>
      <w:r w:rsidRPr="009F4A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παρουσιάζει ολικό ελάχιστο στο 2 το </w:t>
      </w:r>
      <w:r>
        <w:rPr>
          <w:sz w:val="24"/>
          <w:szCs w:val="24"/>
          <w:lang w:val="en-US"/>
        </w:rPr>
        <w:t>h</w:t>
      </w:r>
      <w:r w:rsidRPr="009F4A88">
        <w:rPr>
          <w:sz w:val="24"/>
          <w:szCs w:val="24"/>
        </w:rPr>
        <w:t>(2)= 0.</w:t>
      </w:r>
    </w:p>
    <w:p w14:paraId="75D9231F" w14:textId="77777777" w:rsidR="00D27331" w:rsidRPr="003453FC" w:rsidRDefault="00D27331" w:rsidP="00DF06BD">
      <w:pPr>
        <w:spacing w:line="360" w:lineRule="auto"/>
        <w:rPr>
          <w:sz w:val="24"/>
          <w:szCs w:val="24"/>
        </w:rPr>
      </w:pPr>
    </w:p>
    <w:p w14:paraId="26255D97" w14:textId="77777777" w:rsidR="00D27331" w:rsidRPr="003453FC" w:rsidRDefault="00D27331" w:rsidP="00DF06BD">
      <w:pPr>
        <w:spacing w:line="360" w:lineRule="auto"/>
        <w:rPr>
          <w:sz w:val="24"/>
          <w:szCs w:val="24"/>
        </w:rPr>
      </w:pPr>
    </w:p>
    <w:p w14:paraId="595BB631" w14:textId="77777777" w:rsidR="00DF06BD" w:rsidRDefault="00DF06BD" w:rsidP="00E73AE7">
      <w:pPr>
        <w:spacing w:line="360" w:lineRule="auto"/>
        <w:jc w:val="both"/>
        <w:rPr>
          <w:sz w:val="24"/>
          <w:szCs w:val="24"/>
        </w:rPr>
      </w:pPr>
    </w:p>
    <w:sectPr w:rsidR="00DF06BD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B037D" w14:textId="77777777" w:rsidR="00F1228E" w:rsidRDefault="00F1228E" w:rsidP="005E6BE2">
      <w:r>
        <w:separator/>
      </w:r>
    </w:p>
  </w:endnote>
  <w:endnote w:type="continuationSeparator" w:id="0">
    <w:p w14:paraId="1EAD3188" w14:textId="77777777" w:rsidR="00F1228E" w:rsidRDefault="00F1228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F505F" w14:textId="77777777" w:rsidR="00F1228E" w:rsidRDefault="00F1228E" w:rsidP="005E6BE2">
      <w:r>
        <w:separator/>
      </w:r>
    </w:p>
  </w:footnote>
  <w:footnote w:type="continuationSeparator" w:id="0">
    <w:p w14:paraId="272695B3" w14:textId="77777777" w:rsidR="00F1228E" w:rsidRDefault="00F1228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25AFB"/>
    <w:multiLevelType w:val="hybridMultilevel"/>
    <w:tmpl w:val="2308763A"/>
    <w:lvl w:ilvl="0" w:tplc="0408001B">
      <w:start w:val="1"/>
      <w:numFmt w:val="lowerRoman"/>
      <w:lvlText w:val="%1."/>
      <w:lvlJc w:val="right"/>
      <w:pPr>
        <w:ind w:left="772" w:hanging="360"/>
      </w:pPr>
    </w:lvl>
    <w:lvl w:ilvl="1" w:tplc="04080019" w:tentative="1">
      <w:start w:val="1"/>
      <w:numFmt w:val="lowerLetter"/>
      <w:lvlText w:val="%2."/>
      <w:lvlJc w:val="left"/>
      <w:pPr>
        <w:ind w:left="1492" w:hanging="360"/>
      </w:pPr>
    </w:lvl>
    <w:lvl w:ilvl="2" w:tplc="0408001B" w:tentative="1">
      <w:start w:val="1"/>
      <w:numFmt w:val="lowerRoman"/>
      <w:lvlText w:val="%3."/>
      <w:lvlJc w:val="right"/>
      <w:pPr>
        <w:ind w:left="2212" w:hanging="180"/>
      </w:pPr>
    </w:lvl>
    <w:lvl w:ilvl="3" w:tplc="0408000F" w:tentative="1">
      <w:start w:val="1"/>
      <w:numFmt w:val="decimal"/>
      <w:lvlText w:val="%4."/>
      <w:lvlJc w:val="left"/>
      <w:pPr>
        <w:ind w:left="2932" w:hanging="360"/>
      </w:pPr>
    </w:lvl>
    <w:lvl w:ilvl="4" w:tplc="04080019" w:tentative="1">
      <w:start w:val="1"/>
      <w:numFmt w:val="lowerLetter"/>
      <w:lvlText w:val="%5."/>
      <w:lvlJc w:val="left"/>
      <w:pPr>
        <w:ind w:left="3652" w:hanging="360"/>
      </w:pPr>
    </w:lvl>
    <w:lvl w:ilvl="5" w:tplc="0408001B" w:tentative="1">
      <w:start w:val="1"/>
      <w:numFmt w:val="lowerRoman"/>
      <w:lvlText w:val="%6."/>
      <w:lvlJc w:val="right"/>
      <w:pPr>
        <w:ind w:left="4372" w:hanging="180"/>
      </w:pPr>
    </w:lvl>
    <w:lvl w:ilvl="6" w:tplc="0408000F" w:tentative="1">
      <w:start w:val="1"/>
      <w:numFmt w:val="decimal"/>
      <w:lvlText w:val="%7."/>
      <w:lvlJc w:val="left"/>
      <w:pPr>
        <w:ind w:left="5092" w:hanging="360"/>
      </w:pPr>
    </w:lvl>
    <w:lvl w:ilvl="7" w:tplc="04080019" w:tentative="1">
      <w:start w:val="1"/>
      <w:numFmt w:val="lowerLetter"/>
      <w:lvlText w:val="%8."/>
      <w:lvlJc w:val="left"/>
      <w:pPr>
        <w:ind w:left="5812" w:hanging="360"/>
      </w:pPr>
    </w:lvl>
    <w:lvl w:ilvl="8" w:tplc="0408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46B38"/>
    <w:rsid w:val="0006304A"/>
    <w:rsid w:val="0006575B"/>
    <w:rsid w:val="00071A00"/>
    <w:rsid w:val="00094A65"/>
    <w:rsid w:val="000C7F3A"/>
    <w:rsid w:val="000E7CF0"/>
    <w:rsid w:val="000F26B8"/>
    <w:rsid w:val="000F353F"/>
    <w:rsid w:val="00105218"/>
    <w:rsid w:val="00117C34"/>
    <w:rsid w:val="0015030D"/>
    <w:rsid w:val="00181D8F"/>
    <w:rsid w:val="00190AC6"/>
    <w:rsid w:val="00193B97"/>
    <w:rsid w:val="001C434F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B3F28"/>
    <w:rsid w:val="002E5B7C"/>
    <w:rsid w:val="002E6AA5"/>
    <w:rsid w:val="002F02DE"/>
    <w:rsid w:val="00327D5E"/>
    <w:rsid w:val="00331390"/>
    <w:rsid w:val="00332708"/>
    <w:rsid w:val="00332E16"/>
    <w:rsid w:val="003453FC"/>
    <w:rsid w:val="00350FD6"/>
    <w:rsid w:val="00351431"/>
    <w:rsid w:val="003C600B"/>
    <w:rsid w:val="004479D4"/>
    <w:rsid w:val="004572E0"/>
    <w:rsid w:val="00467F50"/>
    <w:rsid w:val="004E7EF9"/>
    <w:rsid w:val="0052084D"/>
    <w:rsid w:val="00530880"/>
    <w:rsid w:val="0055393D"/>
    <w:rsid w:val="00572722"/>
    <w:rsid w:val="00584D9B"/>
    <w:rsid w:val="00585A11"/>
    <w:rsid w:val="0059790D"/>
    <w:rsid w:val="005A2F36"/>
    <w:rsid w:val="005A65CF"/>
    <w:rsid w:val="005A6D79"/>
    <w:rsid w:val="005B60B0"/>
    <w:rsid w:val="005C33E6"/>
    <w:rsid w:val="005E6BE2"/>
    <w:rsid w:val="00617047"/>
    <w:rsid w:val="006332F7"/>
    <w:rsid w:val="006533D4"/>
    <w:rsid w:val="0068408A"/>
    <w:rsid w:val="006A1AFE"/>
    <w:rsid w:val="006B02D9"/>
    <w:rsid w:val="006B1F77"/>
    <w:rsid w:val="006D4A41"/>
    <w:rsid w:val="006E1D02"/>
    <w:rsid w:val="006F09A0"/>
    <w:rsid w:val="00746273"/>
    <w:rsid w:val="00754786"/>
    <w:rsid w:val="0075669D"/>
    <w:rsid w:val="0077077F"/>
    <w:rsid w:val="007759F5"/>
    <w:rsid w:val="00776FA4"/>
    <w:rsid w:val="007A7F6D"/>
    <w:rsid w:val="007B2B90"/>
    <w:rsid w:val="007D52EE"/>
    <w:rsid w:val="00812929"/>
    <w:rsid w:val="00817B49"/>
    <w:rsid w:val="00891784"/>
    <w:rsid w:val="008B147A"/>
    <w:rsid w:val="008F6B15"/>
    <w:rsid w:val="00922F6A"/>
    <w:rsid w:val="00930F60"/>
    <w:rsid w:val="009356DD"/>
    <w:rsid w:val="00956BFB"/>
    <w:rsid w:val="00970FB2"/>
    <w:rsid w:val="00990B49"/>
    <w:rsid w:val="009B0BA6"/>
    <w:rsid w:val="009B7786"/>
    <w:rsid w:val="009F4A88"/>
    <w:rsid w:val="00A1017F"/>
    <w:rsid w:val="00A23BB4"/>
    <w:rsid w:val="00A71D9B"/>
    <w:rsid w:val="00AA5C99"/>
    <w:rsid w:val="00AA5D11"/>
    <w:rsid w:val="00AA7F90"/>
    <w:rsid w:val="00AD7523"/>
    <w:rsid w:val="00B0089C"/>
    <w:rsid w:val="00B0576C"/>
    <w:rsid w:val="00B13B77"/>
    <w:rsid w:val="00B24512"/>
    <w:rsid w:val="00B60D42"/>
    <w:rsid w:val="00BE3B8B"/>
    <w:rsid w:val="00C17198"/>
    <w:rsid w:val="00C276E4"/>
    <w:rsid w:val="00C31FB7"/>
    <w:rsid w:val="00C45581"/>
    <w:rsid w:val="00C45669"/>
    <w:rsid w:val="00C51918"/>
    <w:rsid w:val="00C53625"/>
    <w:rsid w:val="00C558AD"/>
    <w:rsid w:val="00C6709E"/>
    <w:rsid w:val="00C802AE"/>
    <w:rsid w:val="00CD1A57"/>
    <w:rsid w:val="00CD5DA6"/>
    <w:rsid w:val="00CF67A8"/>
    <w:rsid w:val="00D20F44"/>
    <w:rsid w:val="00D27331"/>
    <w:rsid w:val="00D32A7F"/>
    <w:rsid w:val="00D3543C"/>
    <w:rsid w:val="00D846B2"/>
    <w:rsid w:val="00DB514E"/>
    <w:rsid w:val="00DC5E75"/>
    <w:rsid w:val="00DD4518"/>
    <w:rsid w:val="00DD5224"/>
    <w:rsid w:val="00DE7A4C"/>
    <w:rsid w:val="00DF06BD"/>
    <w:rsid w:val="00DF21FD"/>
    <w:rsid w:val="00E21585"/>
    <w:rsid w:val="00E458E9"/>
    <w:rsid w:val="00E60337"/>
    <w:rsid w:val="00E6035D"/>
    <w:rsid w:val="00E73AE7"/>
    <w:rsid w:val="00E74316"/>
    <w:rsid w:val="00EC6F51"/>
    <w:rsid w:val="00EE0E5F"/>
    <w:rsid w:val="00EE7D06"/>
    <w:rsid w:val="00F1228E"/>
    <w:rsid w:val="00F20410"/>
    <w:rsid w:val="00F238B5"/>
    <w:rsid w:val="00F57B1D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2022-11-06T23:16:00Z</dcterms:created>
  <dcterms:modified xsi:type="dcterms:W3CDTF">2022-11-06T23:16:00Z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