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48361" w14:textId="77777777" w:rsidR="004328EC" w:rsidRPr="00187936" w:rsidRDefault="004328EC" w:rsidP="00187936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187936">
        <w:rPr>
          <w:rFonts w:ascii="Calibri" w:eastAsia="Calibri" w:hAnsi="Calibri" w:cs="Calibri"/>
          <w:b/>
          <w:bCs/>
          <w:sz w:val="24"/>
          <w:szCs w:val="24"/>
        </w:rPr>
        <w:t>ΘΕΜΑ 4</w:t>
      </w:r>
      <w:r w:rsidRPr="00187936">
        <w:rPr>
          <w:rFonts w:ascii="Calibri" w:eastAsia="Calibri" w:hAnsi="Calibri" w:cs="Calibri"/>
          <w:b/>
          <w:bCs/>
          <w:sz w:val="24"/>
          <w:szCs w:val="24"/>
          <w:vertAlign w:val="superscript"/>
        </w:rPr>
        <w:t>ο</w:t>
      </w:r>
      <w:r w:rsidRPr="00187936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</w:p>
    <w:p w14:paraId="7810EA90" w14:textId="77777777" w:rsidR="004328EC" w:rsidRPr="00187936" w:rsidRDefault="004328EC" w:rsidP="00187936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71C60B48" w14:textId="20FC08D5" w:rsidR="004328EC" w:rsidRPr="00187936" w:rsidRDefault="004328EC" w:rsidP="00187936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187936">
        <w:rPr>
          <w:rFonts w:ascii="Calibri" w:eastAsia="Calibri" w:hAnsi="Calibri" w:cs="Calibri"/>
          <w:b/>
          <w:bCs/>
          <w:sz w:val="24"/>
          <w:szCs w:val="24"/>
        </w:rPr>
        <w:t>4.1.</w:t>
      </w:r>
      <w:r w:rsidRPr="00187936">
        <w:rPr>
          <w:rFonts w:ascii="Calibri" w:eastAsia="Calibri" w:hAnsi="Calibri" w:cs="Calibri"/>
          <w:sz w:val="24"/>
          <w:szCs w:val="24"/>
        </w:rPr>
        <w:t xml:space="preserve"> </w:t>
      </w:r>
      <w:r w:rsidRPr="00187936">
        <w:rPr>
          <w:rFonts w:ascii="Calibri" w:eastAsia="Calibri" w:hAnsi="Calibri" w:cs="Calibri"/>
          <w:b/>
          <w:bCs/>
          <w:sz w:val="24"/>
          <w:szCs w:val="24"/>
        </w:rPr>
        <w:t>α.</w:t>
      </w:r>
      <w:r w:rsidRPr="00187936">
        <w:rPr>
          <w:rFonts w:ascii="Calibri" w:eastAsia="Calibri" w:hAnsi="Calibri" w:cs="Calibri"/>
          <w:sz w:val="24"/>
          <w:szCs w:val="24"/>
        </w:rPr>
        <w:t xml:space="preserve"> Τα </w:t>
      </w:r>
      <w:r w:rsidR="000314F5" w:rsidRPr="00187936">
        <w:rPr>
          <w:rFonts w:ascii="Calibri" w:eastAsia="Calibri" w:hAnsi="Calibri" w:cs="Calibri"/>
          <w:sz w:val="24"/>
          <w:szCs w:val="24"/>
        </w:rPr>
        <w:t>μειονεκτήματα</w:t>
      </w:r>
      <w:r w:rsidRPr="00187936">
        <w:rPr>
          <w:rFonts w:ascii="Calibri" w:eastAsia="Calibri" w:hAnsi="Calibri" w:cs="Calibri"/>
          <w:sz w:val="24"/>
          <w:szCs w:val="24"/>
        </w:rPr>
        <w:t xml:space="preserve"> του ξύλου είναι τα ακόλουθα:</w:t>
      </w:r>
    </w:p>
    <w:p w14:paraId="55ABC3E3" w14:textId="04295A11" w:rsidR="004328EC" w:rsidRPr="00187936" w:rsidRDefault="000314F5" w:rsidP="00187936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187936">
        <w:rPr>
          <w:sz w:val="24"/>
          <w:szCs w:val="24"/>
        </w:rPr>
        <w:t>Είναι υγροσκοπικό, δηλαδή ρικνώνεται και διογκώνεται με την απώλεια ή πρόσληψη υγρασίας ή νερού</w:t>
      </w:r>
      <w:r w:rsidR="004328EC" w:rsidRPr="00187936">
        <w:rPr>
          <w:sz w:val="24"/>
          <w:szCs w:val="24"/>
        </w:rPr>
        <w:t>.</w:t>
      </w:r>
    </w:p>
    <w:p w14:paraId="3986C9AF" w14:textId="00D959E3" w:rsidR="004328EC" w:rsidRPr="00187936" w:rsidRDefault="000314F5" w:rsidP="00187936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187936">
        <w:rPr>
          <w:sz w:val="24"/>
          <w:szCs w:val="24"/>
        </w:rPr>
        <w:t xml:space="preserve">Είναι </w:t>
      </w:r>
      <w:proofErr w:type="spellStart"/>
      <w:r w:rsidRPr="00187936">
        <w:rPr>
          <w:sz w:val="24"/>
          <w:szCs w:val="24"/>
        </w:rPr>
        <w:t>ανισότροπο</w:t>
      </w:r>
      <w:proofErr w:type="spellEnd"/>
      <w:r w:rsidRPr="00187936">
        <w:rPr>
          <w:sz w:val="24"/>
          <w:szCs w:val="24"/>
        </w:rPr>
        <w:t xml:space="preserve"> υλικό, δηλαδή διαφέρει η δομή του, η μηχανική αντοχή του και οι ιδιότητές του στις διάφορες κατευθύνσεις (τομές) του</w:t>
      </w:r>
      <w:r w:rsidR="004328EC" w:rsidRPr="00187936">
        <w:rPr>
          <w:sz w:val="24"/>
          <w:szCs w:val="24"/>
        </w:rPr>
        <w:t>.</w:t>
      </w:r>
    </w:p>
    <w:p w14:paraId="02F41FD6" w14:textId="281A685A" w:rsidR="004328EC" w:rsidRPr="00187936" w:rsidRDefault="000314F5" w:rsidP="00187936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187936">
        <w:rPr>
          <w:sz w:val="24"/>
          <w:szCs w:val="24"/>
        </w:rPr>
        <w:t>Καίγεται εύκολα</w:t>
      </w:r>
      <w:r w:rsidR="004328EC" w:rsidRPr="00187936">
        <w:rPr>
          <w:sz w:val="24"/>
          <w:szCs w:val="24"/>
        </w:rPr>
        <w:t>.</w:t>
      </w:r>
    </w:p>
    <w:p w14:paraId="6A75FF60" w14:textId="10CFE50D" w:rsidR="004328EC" w:rsidRPr="00187936" w:rsidRDefault="000314F5" w:rsidP="00187936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187936">
        <w:rPr>
          <w:sz w:val="24"/>
          <w:szCs w:val="24"/>
        </w:rPr>
        <w:t>Προσβάλλεται από μύκητες, έντομα και άλλους οργανισμούς</w:t>
      </w:r>
      <w:r w:rsidR="004328EC" w:rsidRPr="00187936">
        <w:rPr>
          <w:sz w:val="24"/>
          <w:szCs w:val="24"/>
        </w:rPr>
        <w:t>.</w:t>
      </w:r>
    </w:p>
    <w:p w14:paraId="4BD2ED47" w14:textId="5A3CD50E" w:rsidR="004328EC" w:rsidRPr="00187936" w:rsidRDefault="000314F5" w:rsidP="00187936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187936">
        <w:rPr>
          <w:sz w:val="24"/>
          <w:szCs w:val="24"/>
        </w:rPr>
        <w:t>Αλλοιώνεται από κλιματικούς και άλλους εξωτερικούς παράγοντες</w:t>
      </w:r>
      <w:r w:rsidR="004328EC" w:rsidRPr="00187936">
        <w:rPr>
          <w:sz w:val="24"/>
          <w:szCs w:val="24"/>
        </w:rPr>
        <w:t>.</w:t>
      </w:r>
    </w:p>
    <w:p w14:paraId="2D3BA9FD" w14:textId="77777777" w:rsidR="00187936" w:rsidRDefault="00187936" w:rsidP="00187936">
      <w:pPr>
        <w:spacing w:after="0" w:line="360" w:lineRule="auto"/>
        <w:rPr>
          <w:b/>
          <w:bCs/>
          <w:sz w:val="24"/>
          <w:szCs w:val="24"/>
        </w:rPr>
      </w:pPr>
    </w:p>
    <w:p w14:paraId="65CBEA39" w14:textId="453F6CBF" w:rsidR="00EE4212" w:rsidRPr="00187936" w:rsidRDefault="000314F5" w:rsidP="00187936">
      <w:pPr>
        <w:spacing w:after="0" w:line="360" w:lineRule="auto"/>
        <w:rPr>
          <w:sz w:val="24"/>
          <w:szCs w:val="24"/>
        </w:rPr>
      </w:pPr>
      <w:r w:rsidRPr="00187936">
        <w:rPr>
          <w:b/>
          <w:bCs/>
          <w:sz w:val="24"/>
          <w:szCs w:val="24"/>
        </w:rPr>
        <w:t xml:space="preserve">β. </w:t>
      </w:r>
      <w:r w:rsidRPr="00187936">
        <w:rPr>
          <w:sz w:val="24"/>
          <w:szCs w:val="24"/>
        </w:rPr>
        <w:t>Μπορούμε να περιορίσουμε τα μειονεκτήματα του ξύλου εφαρμόζοντας κατάλληλους χειρισμούς ή διεργασίες</w:t>
      </w:r>
      <w:r w:rsidR="00187936" w:rsidRPr="00187936">
        <w:rPr>
          <w:sz w:val="24"/>
          <w:szCs w:val="24"/>
        </w:rPr>
        <w:t>, όπως π.χ. εμποτίζοντας το ξύλο με συγκεκριμένες χημικές ουσίες, το καθιστούμε απρόσβλητο από μύκητες και έντομα ή το κάνουμε ανθεκτικό στη φωτιά.</w:t>
      </w:r>
    </w:p>
    <w:sectPr w:rsidR="00EE4212" w:rsidRPr="00187936" w:rsidSect="0018793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903ED1"/>
    <w:multiLevelType w:val="hybridMultilevel"/>
    <w:tmpl w:val="298C27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8063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8EC"/>
    <w:rsid w:val="000314F5"/>
    <w:rsid w:val="00187936"/>
    <w:rsid w:val="002C7793"/>
    <w:rsid w:val="003C7783"/>
    <w:rsid w:val="004328EC"/>
    <w:rsid w:val="008C07BF"/>
    <w:rsid w:val="00E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7EB33"/>
  <w15:chartTrackingRefBased/>
  <w15:docId w15:val="{8D2381B6-F44B-4173-8CB7-1216CDA80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28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28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107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matoula chrousi</cp:lastModifiedBy>
  <cp:revision>1</cp:revision>
  <dcterms:created xsi:type="dcterms:W3CDTF">2022-11-04T11:51:00Z</dcterms:created>
  <dcterms:modified xsi:type="dcterms:W3CDTF">2022-11-04T13:26:00Z</dcterms:modified>
</cp:coreProperties>
</file>