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DDA2" w14:textId="77777777" w:rsidR="009E4030" w:rsidRPr="005B12D3" w:rsidRDefault="009E4030" w:rsidP="00773159">
      <w:pPr>
        <w:spacing w:after="0" w:line="360" w:lineRule="auto"/>
        <w:jc w:val="both"/>
        <w:rPr>
          <w:rFonts w:ascii="Calibri" w:eastAsia="Calibri" w:hAnsi="Calibri" w:cs="Calibri"/>
          <w:b/>
          <w:bCs/>
          <w:sz w:val="24"/>
          <w:szCs w:val="24"/>
        </w:rPr>
      </w:pPr>
      <w:r w:rsidRPr="005B12D3">
        <w:rPr>
          <w:rFonts w:ascii="Calibri" w:eastAsia="Calibri" w:hAnsi="Calibri" w:cs="Calibri"/>
          <w:b/>
          <w:bCs/>
          <w:sz w:val="24"/>
          <w:szCs w:val="24"/>
        </w:rPr>
        <w:t>ΘΕΜΑ 4</w:t>
      </w:r>
      <w:r w:rsidRPr="005B12D3">
        <w:rPr>
          <w:rFonts w:ascii="Calibri" w:eastAsia="Calibri" w:hAnsi="Calibri" w:cs="Calibri"/>
          <w:b/>
          <w:bCs/>
          <w:sz w:val="24"/>
          <w:szCs w:val="24"/>
          <w:vertAlign w:val="superscript"/>
        </w:rPr>
        <w:t>ο</w:t>
      </w:r>
      <w:r w:rsidRPr="005B12D3">
        <w:rPr>
          <w:rFonts w:ascii="Calibri" w:eastAsia="Calibri" w:hAnsi="Calibri" w:cs="Calibri"/>
          <w:b/>
          <w:bCs/>
          <w:sz w:val="24"/>
          <w:szCs w:val="24"/>
        </w:rPr>
        <w:t xml:space="preserve"> </w:t>
      </w:r>
    </w:p>
    <w:p w14:paraId="0117875E" w14:textId="77777777" w:rsidR="009E4030" w:rsidRPr="005B12D3" w:rsidRDefault="009E4030" w:rsidP="00773159">
      <w:pPr>
        <w:spacing w:after="0" w:line="360" w:lineRule="auto"/>
        <w:jc w:val="both"/>
        <w:rPr>
          <w:rFonts w:ascii="Calibri" w:eastAsia="Calibri" w:hAnsi="Calibri" w:cs="Calibri"/>
          <w:b/>
          <w:bCs/>
          <w:sz w:val="24"/>
          <w:szCs w:val="24"/>
        </w:rPr>
      </w:pPr>
    </w:p>
    <w:p w14:paraId="7EB0C9C2" w14:textId="08A2498F" w:rsidR="009E4030" w:rsidRPr="005B12D3" w:rsidRDefault="009E4030" w:rsidP="00773159">
      <w:pPr>
        <w:spacing w:after="0" w:line="360" w:lineRule="auto"/>
        <w:jc w:val="both"/>
        <w:rPr>
          <w:rFonts w:ascii="Calibri" w:eastAsia="Calibri" w:hAnsi="Calibri" w:cs="Calibri"/>
          <w:sz w:val="24"/>
          <w:szCs w:val="24"/>
        </w:rPr>
      </w:pPr>
      <w:r w:rsidRPr="005B12D3">
        <w:rPr>
          <w:rFonts w:ascii="Calibri" w:eastAsia="Calibri" w:hAnsi="Calibri" w:cs="Calibri"/>
          <w:b/>
          <w:bCs/>
          <w:sz w:val="24"/>
          <w:szCs w:val="24"/>
        </w:rPr>
        <w:t>4.1.</w:t>
      </w:r>
      <w:r w:rsidRPr="005B12D3">
        <w:rPr>
          <w:rFonts w:ascii="Calibri" w:eastAsia="Calibri" w:hAnsi="Calibri" w:cs="Calibri"/>
          <w:sz w:val="24"/>
          <w:szCs w:val="24"/>
        </w:rPr>
        <w:t xml:space="preserve"> </w:t>
      </w:r>
      <w:r w:rsidRPr="005B12D3">
        <w:rPr>
          <w:rFonts w:ascii="Calibri" w:eastAsia="Calibri" w:hAnsi="Calibri" w:cs="Calibri"/>
          <w:b/>
          <w:bCs/>
          <w:sz w:val="24"/>
          <w:szCs w:val="24"/>
        </w:rPr>
        <w:t>α.</w:t>
      </w:r>
      <w:r w:rsidRPr="005B12D3">
        <w:rPr>
          <w:rFonts w:ascii="Calibri" w:eastAsia="Calibri" w:hAnsi="Calibri" w:cs="Calibri"/>
          <w:sz w:val="24"/>
          <w:szCs w:val="24"/>
        </w:rPr>
        <w:t xml:space="preserve"> </w:t>
      </w:r>
      <w:r w:rsidR="007F7554">
        <w:rPr>
          <w:rFonts w:ascii="Calibri" w:eastAsia="Calibri" w:hAnsi="Calibri" w:cs="Calibri"/>
          <w:sz w:val="24"/>
          <w:szCs w:val="24"/>
        </w:rPr>
        <w:t xml:space="preserve">Από το κέντρο ενός κορμού προς την περιφέρειά του διακρίνουμε τρία μέρη: την εντεριώνη, το </w:t>
      </w:r>
      <w:r w:rsidR="0026047A">
        <w:rPr>
          <w:rFonts w:ascii="Calibri" w:eastAsia="Calibri" w:hAnsi="Calibri" w:cs="Calibri"/>
          <w:sz w:val="24"/>
          <w:szCs w:val="24"/>
        </w:rPr>
        <w:t>ξύλο και το φλοιό.</w:t>
      </w:r>
    </w:p>
    <w:p w14:paraId="192C29F2" w14:textId="77777777" w:rsidR="00003B99" w:rsidRDefault="00003B99" w:rsidP="00773159">
      <w:pPr>
        <w:spacing w:after="0" w:line="360" w:lineRule="auto"/>
        <w:jc w:val="both"/>
        <w:rPr>
          <w:b/>
          <w:bCs/>
          <w:sz w:val="24"/>
          <w:szCs w:val="24"/>
        </w:rPr>
      </w:pPr>
    </w:p>
    <w:p w14:paraId="39FD1AAA" w14:textId="0E136591" w:rsidR="00EE4212" w:rsidRDefault="009E4030" w:rsidP="00773159">
      <w:pPr>
        <w:spacing w:after="0" w:line="360" w:lineRule="auto"/>
        <w:jc w:val="both"/>
        <w:rPr>
          <w:sz w:val="24"/>
          <w:szCs w:val="24"/>
        </w:rPr>
      </w:pPr>
      <w:r w:rsidRPr="005B12D3">
        <w:rPr>
          <w:b/>
          <w:bCs/>
          <w:sz w:val="24"/>
          <w:szCs w:val="24"/>
        </w:rPr>
        <w:t xml:space="preserve">β. </w:t>
      </w:r>
      <w:r w:rsidR="0026047A">
        <w:rPr>
          <w:sz w:val="24"/>
          <w:szCs w:val="24"/>
        </w:rPr>
        <w:t>Στην εγκάρσια τομή ενός κορμού είναι χαρακτηριστική η παρουσία «κυκλικών» στρώσεων που ονομάζονται αυξητικοί δακτύλιοι. Η παρουσία τους οφείλεται στο μηχανισμό αύξησης των δέντρων. Τα δέντρα αυξάνουν με τη δημιουργία τέτοιων δακτυλίων. Κάθε χρόνο προστίθεται και ένας μανδύας (δακτύλιος), γι’ αυτό μπορεί να λέγονται και ετήσιοι δακτύλιοι.</w:t>
      </w:r>
      <w:r w:rsidR="002D1C50">
        <w:rPr>
          <w:sz w:val="24"/>
          <w:szCs w:val="24"/>
        </w:rPr>
        <w:t xml:space="preserve"> Μετρώντας τον αριθμό των δακτυλίων είναι δυνατό να εκτιμήσουμε την ηλικία του δέντρου.</w:t>
      </w:r>
    </w:p>
    <w:p w14:paraId="352D5DC0" w14:textId="77777777" w:rsidR="00003B99" w:rsidRDefault="00003B99" w:rsidP="00773159">
      <w:pPr>
        <w:spacing w:after="0" w:line="360" w:lineRule="auto"/>
        <w:jc w:val="both"/>
        <w:rPr>
          <w:b/>
          <w:bCs/>
          <w:sz w:val="24"/>
          <w:szCs w:val="24"/>
        </w:rPr>
      </w:pPr>
    </w:p>
    <w:p w14:paraId="4535E28F" w14:textId="4E51DA37" w:rsidR="002D1C50" w:rsidRPr="002D1C50" w:rsidRDefault="002D1C50" w:rsidP="00773159">
      <w:pPr>
        <w:spacing w:after="0" w:line="360" w:lineRule="auto"/>
        <w:jc w:val="both"/>
      </w:pPr>
      <w:r w:rsidRPr="002D1C50">
        <w:rPr>
          <w:b/>
          <w:bCs/>
          <w:sz w:val="24"/>
          <w:szCs w:val="24"/>
        </w:rPr>
        <w:t xml:space="preserve">γ. </w:t>
      </w:r>
      <w:r>
        <w:rPr>
          <w:sz w:val="24"/>
          <w:szCs w:val="24"/>
        </w:rPr>
        <w:t>Καθώς αυξάνεται η ηλικία του δέντρου, οι παλαιότεροι</w:t>
      </w:r>
      <w:r w:rsidR="00773159">
        <w:rPr>
          <w:sz w:val="24"/>
          <w:szCs w:val="24"/>
        </w:rPr>
        <w:t xml:space="preserve"> αυξητικοί δακτύλιοι σταδιακά παύουν να λαμβάνουν μέρος στη διακίνηση και αποθήκευση των τροφών. Με βάση αυτή τη διαφορά, το κεντρικό συνήθως σκουρότερο τμήμα του κορμού ονομάζεται εγκάρδιο ξύλο, ενώ αυτό που το περιβάλλει λέγεται σομφό ξύλο.</w:t>
      </w:r>
    </w:p>
    <w:sectPr w:rsidR="002D1C50" w:rsidRPr="002D1C50" w:rsidSect="0077315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30"/>
    <w:rsid w:val="00003B99"/>
    <w:rsid w:val="0026047A"/>
    <w:rsid w:val="002C7793"/>
    <w:rsid w:val="002D1C50"/>
    <w:rsid w:val="003C7783"/>
    <w:rsid w:val="00773159"/>
    <w:rsid w:val="007F7554"/>
    <w:rsid w:val="008C07BF"/>
    <w:rsid w:val="009E4030"/>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F3F2"/>
  <w15:chartTrackingRefBased/>
  <w15:docId w15:val="{68859F04-0CD9-4922-8208-B5984C5D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0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134</Words>
  <Characters>724</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2</cp:revision>
  <dcterms:created xsi:type="dcterms:W3CDTF">2022-11-04T13:59:00Z</dcterms:created>
  <dcterms:modified xsi:type="dcterms:W3CDTF">2022-11-06T10:46:00Z</dcterms:modified>
</cp:coreProperties>
</file>