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C46CC" w14:textId="77777777" w:rsidR="00E10372" w:rsidRDefault="00000000">
      <w:pPr>
        <w:pStyle w:val="2"/>
        <w:tabs>
          <w:tab w:val="left" w:pos="851"/>
        </w:tabs>
        <w:spacing w:before="0" w:line="360" w:lineRule="auto"/>
        <w:jc w:val="both"/>
      </w:pPr>
      <w:bookmarkStart w:id="0" w:name="_Hlk110338381"/>
      <w:r>
        <w:rPr>
          <w:rFonts w:ascii="Calibri" w:eastAsia="Calibri" w:hAnsi="Calibri" w:cs="Calibri"/>
          <w:color w:val="000000"/>
          <w:sz w:val="24"/>
          <w:szCs w:val="24"/>
        </w:rPr>
        <w:t xml:space="preserve">ΘΕΜΑ 2 </w:t>
      </w:r>
    </w:p>
    <w:p w14:paraId="12D508A2" w14:textId="77777777" w:rsidR="00E10372" w:rsidRDefault="00000000">
      <w:pPr>
        <w:spacing w:after="0" w:line="360" w:lineRule="auto"/>
        <w:jc w:val="both"/>
      </w:pPr>
      <w:r>
        <w:rPr>
          <w:rFonts w:cs="Calibri"/>
          <w:b/>
          <w:bCs/>
          <w:color w:val="000000"/>
          <w:sz w:val="24"/>
          <w:szCs w:val="24"/>
        </w:rPr>
        <w:t>2.1</w:t>
      </w:r>
      <w:r>
        <w:rPr>
          <w:rFonts w:cs="Calibri"/>
          <w:color w:val="000000"/>
          <w:sz w:val="24"/>
          <w:szCs w:val="24"/>
        </w:rPr>
        <w:t xml:space="preserve"> Να χαρακτηρίσετε τις προτάσεις που ακολουθούν, γράφοντας δίπλα στο γράμμα που αντιστοιχεί σε κάθε πρόταση τη λέξη Σωστό, αν η πρόταση είναι σωστή, ή τη λέξη Λάθος, αν η πρόταση είναι λανθασμένη.</w:t>
      </w:r>
    </w:p>
    <w:p w14:paraId="11B8E088" w14:textId="77777777" w:rsidR="00E10372" w:rsidRDefault="00000000">
      <w:pPr>
        <w:spacing w:after="0" w:line="360" w:lineRule="auto"/>
        <w:jc w:val="both"/>
      </w:pPr>
      <w:r>
        <w:rPr>
          <w:rFonts w:cs="Calibri"/>
          <w:b/>
          <w:bCs/>
          <w:color w:val="000000"/>
          <w:sz w:val="24"/>
          <w:szCs w:val="24"/>
        </w:rPr>
        <w:t>α.</w:t>
      </w:r>
      <w:r>
        <w:rPr>
          <w:rFonts w:cs="Calibri"/>
          <w:color w:val="000000"/>
          <w:sz w:val="24"/>
          <w:szCs w:val="24"/>
        </w:rPr>
        <w:t xml:space="preserve"> Τη λιπασματολογία ενδιαφέρουν μόνο τα λιπάσματα που περιέχουν ένα ή περισσότερα από τα τρία κύρια θρεπτικά στοιχεία.</w:t>
      </w:r>
    </w:p>
    <w:p w14:paraId="7C8A854A" w14:textId="77777777" w:rsidR="00E10372" w:rsidRDefault="00000000">
      <w:pPr>
        <w:spacing w:after="0" w:line="360" w:lineRule="auto"/>
        <w:jc w:val="both"/>
      </w:pPr>
      <w:r>
        <w:rPr>
          <w:rFonts w:cs="Calibri"/>
          <w:b/>
          <w:bCs/>
          <w:color w:val="000000"/>
          <w:sz w:val="24"/>
          <w:szCs w:val="24"/>
        </w:rPr>
        <w:t>β.</w:t>
      </w:r>
      <w:r>
        <w:rPr>
          <w:rFonts w:cs="Calibri"/>
          <w:color w:val="000000"/>
          <w:sz w:val="24"/>
          <w:szCs w:val="24"/>
        </w:rPr>
        <w:t xml:space="preserve"> Για το άζωτο ενδιαφέρον παρουσιάζουν κυρίως οι αφομοιώσιμες  μορφές του.</w:t>
      </w:r>
    </w:p>
    <w:p w14:paraId="69285773" w14:textId="77777777" w:rsidR="00E10372" w:rsidRDefault="00000000">
      <w:pPr>
        <w:spacing w:after="0" w:line="360" w:lineRule="auto"/>
        <w:jc w:val="both"/>
      </w:pPr>
      <w:r>
        <w:rPr>
          <w:rFonts w:cs="Calibri"/>
          <w:b/>
          <w:bCs/>
          <w:color w:val="000000"/>
          <w:sz w:val="24"/>
          <w:szCs w:val="24"/>
        </w:rPr>
        <w:t xml:space="preserve">γ. </w:t>
      </w:r>
      <w:r>
        <w:rPr>
          <w:rFonts w:cs="Calibri"/>
          <w:color w:val="000000"/>
          <w:sz w:val="24"/>
          <w:szCs w:val="24"/>
        </w:rPr>
        <w:t xml:space="preserve">Τα πλήρη λιπάσματα περιέχουν οπωσδήποτε ένα από τα κύρια θρεπτικά στοιχεία </w:t>
      </w:r>
      <w:r>
        <w:rPr>
          <w:rFonts w:cs="Calibri"/>
          <w:color w:val="000000"/>
          <w:sz w:val="24"/>
          <w:szCs w:val="24"/>
          <w:lang w:val="en-US"/>
        </w:rPr>
        <w:t>N</w:t>
      </w:r>
      <w:r>
        <w:rPr>
          <w:rFonts w:cs="Calibri"/>
          <w:color w:val="000000"/>
          <w:sz w:val="24"/>
          <w:szCs w:val="24"/>
        </w:rPr>
        <w:t xml:space="preserve">, </w:t>
      </w:r>
      <w:r>
        <w:rPr>
          <w:rFonts w:cs="Calibri"/>
          <w:color w:val="000000"/>
          <w:sz w:val="24"/>
          <w:szCs w:val="24"/>
          <w:lang w:val="en-US"/>
        </w:rPr>
        <w:t>P</w:t>
      </w:r>
      <w:r>
        <w:rPr>
          <w:rFonts w:cs="Calibri"/>
          <w:color w:val="000000"/>
          <w:sz w:val="24"/>
          <w:szCs w:val="24"/>
        </w:rPr>
        <w:t xml:space="preserve"> ή </w:t>
      </w:r>
      <w:r>
        <w:rPr>
          <w:rFonts w:cs="Calibri"/>
          <w:color w:val="000000"/>
          <w:sz w:val="24"/>
          <w:szCs w:val="24"/>
          <w:lang w:val="en-US"/>
        </w:rPr>
        <w:t>K</w:t>
      </w:r>
      <w:r>
        <w:rPr>
          <w:rFonts w:cs="Calibri"/>
          <w:color w:val="000000"/>
          <w:sz w:val="24"/>
          <w:szCs w:val="24"/>
        </w:rPr>
        <w:t xml:space="preserve"> και ενδεχομένως και άλλα στοιχεία. </w:t>
      </w:r>
    </w:p>
    <w:p w14:paraId="4BAFC273" w14:textId="77777777" w:rsidR="00E10372" w:rsidRDefault="00000000">
      <w:pPr>
        <w:spacing w:after="0" w:line="360" w:lineRule="auto"/>
        <w:jc w:val="both"/>
      </w:pPr>
      <w:r>
        <w:rPr>
          <w:rFonts w:cs="Calibri"/>
          <w:b/>
          <w:bCs/>
          <w:color w:val="000000"/>
          <w:sz w:val="24"/>
          <w:szCs w:val="24"/>
        </w:rPr>
        <w:t>δ.</w:t>
      </w:r>
      <w:r>
        <w:rPr>
          <w:rFonts w:cs="Calibri"/>
          <w:color w:val="000000"/>
          <w:sz w:val="24"/>
          <w:szCs w:val="24"/>
        </w:rPr>
        <w:t xml:space="preserve"> Με τον όρο «μονάδες» προσδιορίζεται η εκατοστιαία αναλογία του θρεπτικού στοιχείου στο λίπασμα. </w:t>
      </w:r>
    </w:p>
    <w:p w14:paraId="30C3904B" w14:textId="77777777" w:rsidR="00E10372" w:rsidRDefault="00000000">
      <w:pPr>
        <w:spacing w:after="0" w:line="360" w:lineRule="auto"/>
        <w:jc w:val="both"/>
      </w:pPr>
      <w:r>
        <w:rPr>
          <w:rFonts w:cs="Calibri"/>
          <w:b/>
          <w:bCs/>
          <w:color w:val="000000"/>
          <w:sz w:val="24"/>
          <w:szCs w:val="24"/>
        </w:rPr>
        <w:t>ε.</w:t>
      </w:r>
      <w:r>
        <w:rPr>
          <w:rFonts w:cs="Calibri"/>
          <w:color w:val="000000"/>
          <w:sz w:val="24"/>
          <w:szCs w:val="24"/>
        </w:rPr>
        <w:t xml:space="preserve"> Αν σε μια συσκευασία λιπάσματος υπάρχει η ένδειξη (11-21-0), αυτό σημαίνει ότι το λίπασμα περιέχει 11 μονάδες αζώτου, 21 μονάδες φωσφόρου και καθόλου κάλιο.  </w:t>
      </w:r>
    </w:p>
    <w:p w14:paraId="598350E8" w14:textId="6AF361C9" w:rsidR="00E10372" w:rsidRDefault="00000000">
      <w:pPr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975739">
        <w:rPr>
          <w:rFonts w:cs="Calibri"/>
          <w:b/>
          <w:bCs/>
          <w:sz w:val="24"/>
          <w:szCs w:val="24"/>
        </w:rPr>
        <w:t xml:space="preserve">    </w:t>
      </w:r>
      <w:r>
        <w:rPr>
          <w:rFonts w:cs="Calibri"/>
          <w:b/>
          <w:bCs/>
          <w:sz w:val="24"/>
          <w:szCs w:val="24"/>
        </w:rPr>
        <w:t>Μονάδες 15</w:t>
      </w:r>
    </w:p>
    <w:bookmarkEnd w:id="0"/>
    <w:p w14:paraId="1DC3AEF2" w14:textId="77777777" w:rsidR="00E10372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2.2 </w:t>
      </w:r>
      <w:r>
        <w:rPr>
          <w:rFonts w:cs="Calibri"/>
          <w:color w:val="000000"/>
          <w:sz w:val="24"/>
          <w:szCs w:val="24"/>
        </w:rPr>
        <w:t>Να επιλέξετε την ορθή απάντηση για τις προτάσεις που ακολουθούν:</w:t>
      </w:r>
    </w:p>
    <w:p w14:paraId="771B4B82" w14:textId="77777777" w:rsidR="00E10372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2.2.1 </w:t>
      </w:r>
      <w:r>
        <w:rPr>
          <w:bCs/>
          <w:sz w:val="24"/>
          <w:szCs w:val="24"/>
        </w:rPr>
        <w:t xml:space="preserve">Τα μικτά ή σύνθετα λιπάσματα περιέχουν: </w:t>
      </w:r>
    </w:p>
    <w:p w14:paraId="6D2CB302" w14:textId="77777777" w:rsidR="00E10372" w:rsidRDefault="00000000">
      <w:pPr>
        <w:pStyle w:val="a3"/>
        <w:tabs>
          <w:tab w:val="left" w:pos="993"/>
        </w:tabs>
        <w:spacing w:line="360" w:lineRule="auto"/>
        <w:jc w:val="both"/>
      </w:pPr>
      <w:r>
        <w:rPr>
          <w:b/>
          <w:bCs/>
          <w:sz w:val="24"/>
          <w:szCs w:val="24"/>
        </w:rPr>
        <w:t>α.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ένα από τα τρία κύρια στοιχεία (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) και δύο από τα υπόλοιπα αναγκαία στα φυτά θρεπτικά στοιχεία</w:t>
      </w:r>
      <w:r>
        <w:rPr>
          <w:bCs/>
          <w:sz w:val="24"/>
          <w:szCs w:val="24"/>
        </w:rPr>
        <w:t>, όπως μαγνήσιο, θείο, ασβέστιο κ.λπ.</w:t>
      </w:r>
    </w:p>
    <w:p w14:paraId="66DC4C6F" w14:textId="77777777" w:rsidR="00E10372" w:rsidRDefault="00000000">
      <w:pPr>
        <w:pStyle w:val="a3"/>
        <w:tabs>
          <w:tab w:val="left" w:pos="993"/>
        </w:tabs>
        <w:spacing w:line="360" w:lineRule="auto"/>
        <w:jc w:val="both"/>
      </w:pPr>
      <w:r>
        <w:rPr>
          <w:b/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 xml:space="preserve">οπωσδήποτε και τα τρία κύρια θρεπτικά στοιχεία 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) και ενδεχομένως και  άλλα στοιχεία.</w:t>
      </w:r>
    </w:p>
    <w:p w14:paraId="2C6D3024" w14:textId="77777777" w:rsidR="00E10372" w:rsidRDefault="00000000">
      <w:pPr>
        <w:pStyle w:val="a3"/>
        <w:tabs>
          <w:tab w:val="left" w:pos="993"/>
        </w:tabs>
        <w:spacing w:line="360" w:lineRule="auto"/>
        <w:jc w:val="both"/>
      </w:pPr>
      <w:r>
        <w:rPr>
          <w:b/>
          <w:bCs/>
          <w:sz w:val="24"/>
          <w:szCs w:val="24"/>
        </w:rPr>
        <w:t xml:space="preserve">γ. </w:t>
      </w:r>
      <w:r>
        <w:rPr>
          <w:sz w:val="24"/>
          <w:szCs w:val="24"/>
        </w:rPr>
        <w:t>δύο από τα τρία κύρια στοιχεία (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) και ένα ή περισσότερα από τα υπόλοιπα αναγκαία στα φυτά θρεπτικά στοιχεία </w:t>
      </w:r>
      <w:r>
        <w:rPr>
          <w:bCs/>
          <w:sz w:val="24"/>
          <w:szCs w:val="24"/>
        </w:rPr>
        <w:t>όπως μαγνήσιο, θείο, ασβέστιο κ.λπ.</w:t>
      </w:r>
    </w:p>
    <w:p w14:paraId="73DCAB8B" w14:textId="77777777" w:rsidR="00E10372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>δ</w:t>
      </w:r>
      <w:r>
        <w:rPr>
          <w:bCs/>
          <w:sz w:val="24"/>
          <w:szCs w:val="24"/>
        </w:rPr>
        <w:t xml:space="preserve">. οπωσδήποτε και τα τρία κύρια θρεπτικά στοιχεία 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) και δύο ή περισσότερα από τα υπόλοιπα αναγκαία στα φυτά θρεπτικά στοιχεία.</w:t>
      </w:r>
    </w:p>
    <w:p w14:paraId="73ADE4DC" w14:textId="2EFF15F0" w:rsidR="00E10372" w:rsidRDefault="00000000">
      <w:pPr>
        <w:pStyle w:val="a3"/>
        <w:tabs>
          <w:tab w:val="left" w:pos="851"/>
        </w:tabs>
        <w:spacing w:line="360" w:lineRule="auto"/>
        <w:jc w:val="both"/>
      </w:pP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975739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>Μονάδες 5</w:t>
      </w:r>
    </w:p>
    <w:p w14:paraId="7131C561" w14:textId="77777777" w:rsidR="00E10372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2.2.2 </w:t>
      </w:r>
      <w:r>
        <w:rPr>
          <w:sz w:val="24"/>
          <w:szCs w:val="24"/>
        </w:rPr>
        <w:t xml:space="preserve">Η ένδειξη (11-15-15) σημαίνει ότι το λίπασμα είναι: </w:t>
      </w:r>
    </w:p>
    <w:p w14:paraId="1D6E0503" w14:textId="77777777" w:rsidR="00E10372" w:rsidRDefault="00000000">
      <w:pPr>
        <w:pStyle w:val="a3"/>
        <w:spacing w:line="360" w:lineRule="auto"/>
        <w:jc w:val="both"/>
      </w:pPr>
      <w:r>
        <w:rPr>
          <w:b/>
          <w:bCs/>
          <w:sz w:val="24"/>
          <w:szCs w:val="24"/>
        </w:rPr>
        <w:t xml:space="preserve">α. </w:t>
      </w:r>
      <w:r>
        <w:rPr>
          <w:bCs/>
          <w:sz w:val="24"/>
          <w:szCs w:val="24"/>
        </w:rPr>
        <w:t xml:space="preserve">μικτό ή σύνθετο </w:t>
      </w:r>
    </w:p>
    <w:p w14:paraId="20C317C9" w14:textId="77777777" w:rsidR="00E10372" w:rsidRDefault="00000000">
      <w:pPr>
        <w:pStyle w:val="a3"/>
        <w:tabs>
          <w:tab w:val="left" w:pos="709"/>
        </w:tabs>
        <w:spacing w:line="360" w:lineRule="auto"/>
        <w:jc w:val="both"/>
      </w:pPr>
      <w:r>
        <w:rPr>
          <w:b/>
          <w:bCs/>
          <w:sz w:val="24"/>
          <w:szCs w:val="24"/>
        </w:rPr>
        <w:t xml:space="preserve">β. </w:t>
      </w:r>
      <w:r>
        <w:rPr>
          <w:bCs/>
          <w:sz w:val="24"/>
          <w:szCs w:val="24"/>
        </w:rPr>
        <w:t>οργανικό</w:t>
      </w:r>
      <w:r>
        <w:rPr>
          <w:sz w:val="24"/>
          <w:szCs w:val="24"/>
        </w:rPr>
        <w:t xml:space="preserve"> </w:t>
      </w:r>
    </w:p>
    <w:p w14:paraId="77744FBC" w14:textId="77777777" w:rsidR="00E10372" w:rsidRDefault="00000000">
      <w:pPr>
        <w:pStyle w:val="a3"/>
        <w:tabs>
          <w:tab w:val="left" w:pos="709"/>
        </w:tabs>
        <w:spacing w:line="360" w:lineRule="auto"/>
        <w:jc w:val="both"/>
      </w:pPr>
      <w:r>
        <w:rPr>
          <w:b/>
          <w:bCs/>
          <w:sz w:val="24"/>
          <w:szCs w:val="24"/>
        </w:rPr>
        <w:t xml:space="preserve">γ. </w:t>
      </w:r>
      <w:r>
        <w:rPr>
          <w:sz w:val="24"/>
          <w:szCs w:val="24"/>
        </w:rPr>
        <w:t>πλήρες</w:t>
      </w:r>
      <w:r>
        <w:rPr>
          <w:bCs/>
          <w:sz w:val="24"/>
          <w:szCs w:val="24"/>
        </w:rPr>
        <w:t xml:space="preserve"> </w:t>
      </w:r>
    </w:p>
    <w:p w14:paraId="4423D7B5" w14:textId="77777777" w:rsidR="00E10372" w:rsidRDefault="00000000">
      <w:pPr>
        <w:pStyle w:val="a3"/>
        <w:tabs>
          <w:tab w:val="left" w:pos="709"/>
        </w:tabs>
        <w:spacing w:line="360" w:lineRule="auto"/>
        <w:jc w:val="both"/>
      </w:pP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απλό</w:t>
      </w:r>
    </w:p>
    <w:p w14:paraId="37642A27" w14:textId="67A94191" w:rsidR="00E10372" w:rsidRDefault="00000000" w:rsidP="00975739">
      <w:pPr>
        <w:pStyle w:val="a3"/>
        <w:tabs>
          <w:tab w:val="left" w:pos="8789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975739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>Μονάδες 5</w:t>
      </w:r>
    </w:p>
    <w:p w14:paraId="18B1E9AB" w14:textId="77777777" w:rsidR="00E10372" w:rsidRDefault="00E10372">
      <w:pPr>
        <w:jc w:val="both"/>
      </w:pPr>
    </w:p>
    <w:sectPr w:rsidR="00E10372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0558C" w14:textId="77777777" w:rsidR="00B16A34" w:rsidRDefault="00B16A34">
      <w:pPr>
        <w:spacing w:after="0" w:line="240" w:lineRule="auto"/>
      </w:pPr>
      <w:r>
        <w:separator/>
      </w:r>
    </w:p>
  </w:endnote>
  <w:endnote w:type="continuationSeparator" w:id="0">
    <w:p w14:paraId="4649A1E0" w14:textId="77777777" w:rsidR="00B16A34" w:rsidRDefault="00B16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CF6CC" w14:textId="77777777" w:rsidR="00B16A34" w:rsidRDefault="00B16A3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26720D1" w14:textId="77777777" w:rsidR="00B16A34" w:rsidRDefault="00B16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372"/>
    <w:rsid w:val="000C7E76"/>
    <w:rsid w:val="005B7B34"/>
    <w:rsid w:val="00975739"/>
    <w:rsid w:val="00B16A34"/>
    <w:rsid w:val="00E1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40BC"/>
  <w15:docId w15:val="{1FFD58B1-DE8E-4232-A1B9-FF43D6C0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 Spacing"/>
    <w:pPr>
      <w:suppressAutoHyphens/>
    </w:pPr>
    <w:rPr>
      <w:sz w:val="22"/>
      <w:szCs w:val="22"/>
      <w:lang w:eastAsia="en-US"/>
    </w:rPr>
  </w:style>
  <w:style w:type="character" w:customStyle="1" w:styleId="normaltextrun">
    <w:name w:val="normaltextru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1697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ΑΝΔΡΕΑΣ ΧΡΥΣΑΝΘΑΚΟΠΟΥΛΟΣ</cp:lastModifiedBy>
  <cp:revision>3</cp:revision>
  <dcterms:created xsi:type="dcterms:W3CDTF">2022-11-05T10:56:00Z</dcterms:created>
  <dcterms:modified xsi:type="dcterms:W3CDTF">2022-11-05T11:00:00Z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