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ΕΝΔΕΙΚΤΙΚΕΣ ΑΠΑΝΤΗΣΕΙΣ</w:t>
      </w:r>
    </w:p>
    <w:p>
      <w:pPr>
        <w:pStyle w:val="Κύριο τμήμα A"/>
        <w:spacing w:line="48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 xml:space="preserve">ΘΕΜΑ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4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ο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α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>)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O</w:t>
      </w:r>
      <w:r>
        <w:rPr>
          <w:rFonts w:ascii="Calibri" w:cs="Calibri" w:hAnsi="Calibri" w:eastAsia="Calibri"/>
          <w:sz w:val="24"/>
          <w:szCs w:val="24"/>
          <w:rtl w:val="0"/>
        </w:rPr>
        <w:t>ι διαφορές είναι</w:t>
      </w:r>
      <w:r>
        <w:rPr>
          <w:rFonts w:ascii="Calibri" w:cs="Calibri" w:hAnsi="Calibri" w:eastAsia="Calibri"/>
          <w:sz w:val="24"/>
          <w:szCs w:val="24"/>
          <w:rtl w:val="0"/>
        </w:rPr>
        <w:t>:</w:t>
      </w:r>
    </w:p>
    <w:p>
      <w:pPr>
        <w:pStyle w:val="Κύριο τμήμα A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Calibri" w:cs="Calibri" w:hAnsi="Calibri" w:eastAsia="Calibri"/>
          <w:sz w:val="24"/>
          <w:szCs w:val="24"/>
          <w:rtl w:val="0"/>
        </w:rPr>
      </w:pPr>
      <w:r>
        <w:rPr>
          <w:rFonts w:ascii="Calibri" w:cs="Calibri" w:hAnsi="Calibri" w:eastAsia="Calibri"/>
          <w:sz w:val="24"/>
          <w:szCs w:val="24"/>
          <w:rtl w:val="0"/>
        </w:rPr>
        <w:t>Η προπαγάνδα επιζητεί να εκμεταλλευτεί τις υπάρχουσες ικανότητες του ανθρώπινου πνεύματος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σε αντίθεση με τις δημόσιες σχέσεις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που επιδιώκουν αντικειμενική ενημέρωση και κατανόηση και αναπτύσσουν τις δυνατότητες συνεργασίας και προόδου της κοινωνίας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Calibri" w:cs="Calibri" w:hAnsi="Calibri" w:eastAsia="Calibri"/>
          <w:sz w:val="24"/>
          <w:szCs w:val="24"/>
          <w:rtl w:val="0"/>
        </w:rPr>
      </w:pPr>
      <w:r>
        <w:rPr>
          <w:rFonts w:ascii="Calibri" w:cs="Calibri" w:hAnsi="Calibri" w:eastAsia="Calibri"/>
          <w:sz w:val="24"/>
          <w:szCs w:val="24"/>
          <w:rtl w:val="0"/>
        </w:rPr>
        <w:t>Η προπαγάνδα παραμένει μονόλογος και επιζητεί την ανεπιφύλακτη αποδοχή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Οι δημόσιες σχέσεις απευθύνονται στη λογική του ανθρώπου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στην πείρα του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σέβονται την κρίση του και προσπαθούν να το κάνουν να διαμορφώσει ελεύθερα τη γνώμη και τη συμπεριφορά του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ενώ στόχος τους είναι ο διάλογος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</w:rPr>
        <w:t>Αντίθετα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η προπαγάνδα απευθύνεται στο συναίσθημα και τα πάθη και προσπαθεί να επιβληθεί με κάθε μέσο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Calibri" w:cs="Calibri" w:hAnsi="Calibri" w:eastAsia="Calibri"/>
          <w:sz w:val="24"/>
          <w:szCs w:val="24"/>
          <w:rtl w:val="0"/>
        </w:rPr>
      </w:pPr>
      <w:r>
        <w:rPr>
          <w:rFonts w:ascii="Calibri" w:cs="Calibri" w:hAnsi="Calibri" w:eastAsia="Calibri"/>
          <w:sz w:val="24"/>
          <w:szCs w:val="24"/>
          <w:rtl w:val="0"/>
        </w:rPr>
        <w:t>Τέλος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η προπαγάνδα προσπαθεί να πείσει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να αποσπάσει την παραδοχή για ένα δόγμα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για μία πίστη και για μία ιδεολογία και να αποκτήσει οπαδούς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οι δημόσιες σχέσεις επικοινωνούν με το κοινό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δέχονται αντιρρήσεις ή επιβεβαιώσεις και επιδιώκουν να καλλιεργήσουν κλίμα εμπιστοσύνης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β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Είναι όλα τα μέσα επικοινωνίας τα οποία κατατάσσονται σε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3 </w:t>
      </w:r>
      <w:r>
        <w:rPr>
          <w:rFonts w:ascii="Calibri" w:cs="Calibri" w:hAnsi="Calibri" w:eastAsia="Calibri"/>
          <w:sz w:val="24"/>
          <w:szCs w:val="24"/>
          <w:rtl w:val="0"/>
        </w:rPr>
        <w:t>μεγάλες κατηγορίες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sz w:val="24"/>
          <w:szCs w:val="24"/>
          <w:rtl w:val="0"/>
        </w:rPr>
        <w:t>Πιο συγκεκριμένα είναι</w:t>
      </w:r>
      <w:r>
        <w:rPr>
          <w:rFonts w:ascii="Calibri" w:cs="Calibri" w:hAnsi="Calibri" w:eastAsia="Calibri"/>
          <w:sz w:val="24"/>
          <w:szCs w:val="24"/>
          <w:rtl w:val="0"/>
        </w:rPr>
        <w:t>:</w:t>
      </w:r>
    </w:p>
    <w:p>
      <w:pPr>
        <w:pStyle w:val="Κύριο τμήμα A"/>
        <w:numPr>
          <w:ilvl w:val="0"/>
          <w:numId w:val="3"/>
        </w:numPr>
        <w:bidi w:val="0"/>
        <w:spacing w:line="360" w:lineRule="auto"/>
        <w:ind w:right="0"/>
        <w:jc w:val="both"/>
        <w:rPr>
          <w:rFonts w:ascii="Calibri" w:cs="Calibri" w:hAnsi="Calibri" w:eastAsia="Calibri"/>
          <w:sz w:val="24"/>
          <w:szCs w:val="24"/>
          <w:rtl w:val="0"/>
        </w:rPr>
      </w:pPr>
      <w:r>
        <w:rPr>
          <w:rFonts w:ascii="Calibri" w:cs="Calibri" w:hAnsi="Calibri" w:eastAsia="Calibri"/>
          <w:sz w:val="24"/>
          <w:szCs w:val="24"/>
          <w:rtl w:val="0"/>
        </w:rPr>
        <w:t>Ο προφορικός λόγος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Calibri" w:cs="Calibri" w:hAnsi="Calibri" w:eastAsia="Calibri"/>
          <w:sz w:val="24"/>
          <w:szCs w:val="24"/>
          <w:rtl w:val="0"/>
        </w:rPr>
      </w:pPr>
      <w:r>
        <w:rPr>
          <w:rFonts w:ascii="Calibri" w:cs="Calibri" w:hAnsi="Calibri" w:eastAsia="Calibri"/>
          <w:sz w:val="24"/>
          <w:szCs w:val="24"/>
          <w:rtl w:val="0"/>
        </w:rPr>
        <w:t xml:space="preserve"> Ο γραπτός λόγος και </w:t>
      </w:r>
    </w:p>
    <w:p>
      <w:pPr>
        <w:pStyle w:val="Κύριο τμήμα A"/>
        <w:numPr>
          <w:ilvl w:val="0"/>
          <w:numId w:val="2"/>
        </w:numPr>
        <w:bidi w:val="0"/>
        <w:spacing w:line="360" w:lineRule="auto"/>
        <w:ind w:right="0"/>
        <w:jc w:val="both"/>
        <w:rPr>
          <w:rFonts w:ascii="Calibri" w:cs="Calibri" w:hAnsi="Calibri" w:eastAsia="Calibri"/>
          <w:sz w:val="24"/>
          <w:szCs w:val="24"/>
          <w:rtl w:val="0"/>
        </w:rPr>
      </w:pPr>
      <w:r>
        <w:rPr>
          <w:rFonts w:ascii="Calibri" w:cs="Calibri" w:hAnsi="Calibri" w:eastAsia="Calibri"/>
          <w:sz w:val="24"/>
          <w:szCs w:val="24"/>
          <w:rtl w:val="0"/>
        </w:rPr>
        <w:t xml:space="preserve"> διάφορα μέσα που έχουν ιδιαίτερη σημασία και ειδική βαρύτητα και επίδραση όπως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: </w:t>
      </w:r>
      <w:r>
        <w:rPr>
          <w:rFonts w:ascii="Calibri" w:cs="Calibri" w:hAnsi="Calibri" w:eastAsia="Calibri"/>
          <w:sz w:val="24"/>
          <w:szCs w:val="24"/>
          <w:rtl w:val="0"/>
        </w:rPr>
        <w:t>το σύμβολο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το σύνθημα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η ιδεολογία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jc w:val="both"/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</w:rPr>
        <w:t>γ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</w:rPr>
        <w:t>Προπαγάνδα είναι η λειτουργία επικοινωνίας μεταξύ ενός στόχου ή μίας ομάδας και του κοινού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η οποία έχει σκοπό τη διάδοση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κατά τρόπο συστηματικό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ιδεών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αντιλήψεων ή θεωριών </w:t>
      </w:r>
      <w:r>
        <w:rPr>
          <w:rFonts w:ascii="Calibri" w:cs="Calibri" w:hAnsi="Calibri" w:eastAsia="Calibri"/>
          <w:sz w:val="24"/>
          <w:szCs w:val="24"/>
          <w:rtl w:val="0"/>
          <w:lang w:val="ru-RU"/>
        </w:rPr>
        <w:t xml:space="preserve">- </w:t>
      </w:r>
      <w:r>
        <w:rPr>
          <w:rFonts w:ascii="Calibri" w:cs="Calibri" w:hAnsi="Calibri" w:eastAsia="Calibri"/>
          <w:sz w:val="24"/>
          <w:szCs w:val="24"/>
          <w:rtl w:val="0"/>
        </w:rPr>
        <w:t>με τη χρησιμοποίηση θεμιτών ή αθέμιτων μέσων</w:t>
      </w:r>
      <w:r>
        <w:rPr>
          <w:rFonts w:ascii="Calibri" w:cs="Calibri" w:hAnsi="Calibri" w:eastAsia="Calibri"/>
          <w:sz w:val="24"/>
          <w:szCs w:val="24"/>
          <w:rtl w:val="0"/>
        </w:rPr>
        <w:t xml:space="preserve">, </w:t>
      </w:r>
      <w:r>
        <w:rPr>
          <w:rFonts w:ascii="Calibri" w:cs="Calibri" w:hAnsi="Calibri" w:eastAsia="Calibri"/>
          <w:sz w:val="24"/>
          <w:szCs w:val="24"/>
          <w:rtl w:val="0"/>
        </w:rPr>
        <w:t>ώστε να διαμορφώσει το κοινό μία συγκεκριμένη τάση ή κατεύθυνση</w:t>
      </w:r>
      <w:r>
        <w:rPr>
          <w:rFonts w:ascii="Calibri" w:cs="Calibri" w:hAnsi="Calibri" w:eastAsia="Calibri"/>
          <w:sz w:val="24"/>
          <w:szCs w:val="24"/>
          <w:rtl w:val="0"/>
        </w:rPr>
        <w:t>.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Γράμματα"/>
  </w:abstractNum>
  <w:abstractNum w:abstractNumId="1">
    <w:multiLevelType w:val="hybridMultilevel"/>
    <w:styleLink w:val="Γράμματα"/>
    <w:lvl w:ilvl="0">
      <w:start w:val="1"/>
      <w:numFmt w:val="lowerRoman"/>
      <w:suff w:val="tab"/>
      <w:lvlText w:val="%1)"/>
      <w:lvlJc w:val="left"/>
      <w:pPr>
        <w:ind w:left="572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Roman"/>
      <w:suff w:val="tab"/>
      <w:lvlText w:val="%2)"/>
      <w:lvlJc w:val="left"/>
      <w:pPr>
        <w:ind w:left="1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)"/>
      <w:lvlJc w:val="left"/>
      <w:pPr>
        <w:ind w:left="2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Roman"/>
      <w:suff w:val="tab"/>
      <w:lvlText w:val="%4)"/>
      <w:lvlJc w:val="left"/>
      <w:pPr>
        <w:ind w:left="3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Roman"/>
      <w:suff w:val="tab"/>
      <w:lvlText w:val="%5)"/>
      <w:lvlJc w:val="left"/>
      <w:pPr>
        <w:ind w:left="4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)"/>
      <w:lvlJc w:val="left"/>
      <w:pPr>
        <w:ind w:left="5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ind w:left="6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Roman"/>
      <w:suff w:val="tab"/>
      <w:lvlText w:val="%8)"/>
      <w:lvlJc w:val="left"/>
      <w:pPr>
        <w:ind w:left="7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)"/>
      <w:lvlJc w:val="left"/>
      <w:pPr>
        <w:ind w:left="8599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Γράμματα">
    <w:name w:val="Γράμματα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