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ο </w:t>
      </w:r>
    </w:p>
    <w:p>
      <w:pPr>
        <w:pStyle w:val="Κύριο τμήμα A"/>
        <w:spacing w:line="360" w:lineRule="auto"/>
        <w:rPr>
          <w:rFonts w:ascii="Calibri" w:cs="Calibri" w:hAnsi="Calibri" w:eastAsia="Calibri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Ποιες οι διαφορές που εντοπίζονται μεταξύ προπαγάνδας και δημοσίων σχέσεων</w:t>
      </w:r>
      <w:r>
        <w:rPr>
          <w:rFonts w:ascii="Calibri" w:cs="Calibri" w:hAnsi="Calibri" w:eastAsia="Calibri"/>
          <w:sz w:val="24"/>
          <w:szCs w:val="24"/>
          <w:rtl w:val="0"/>
        </w:rPr>
        <w:t>; (</w:t>
      </w:r>
      <w:r>
        <w:rPr>
          <w:rFonts w:ascii="Calibri" w:cs="Calibri" w:hAnsi="Calibri" w:eastAsia="Calibri"/>
          <w:sz w:val="24"/>
          <w:szCs w:val="24"/>
          <w:rtl w:val="0"/>
        </w:rPr>
        <w:t>Να αναφερθείτε σε αυτές αναλυτικά</w:t>
      </w:r>
      <w:r>
        <w:rPr>
          <w:rFonts w:ascii="Calibri" w:cs="Calibri" w:hAnsi="Calibri" w:eastAsia="Calibri"/>
          <w:sz w:val="24"/>
          <w:szCs w:val="24"/>
          <w:rtl w:val="0"/>
        </w:rPr>
        <w:t>).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10)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)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Ποια τα μέσα που χρησιμοποιεί η προπαγάνδα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; 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10)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γ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Ποιος ο ορισμός της προπαγάνδας</w:t>
      </w:r>
      <w:r>
        <w:rPr>
          <w:rFonts w:ascii="Calibri" w:cs="Calibri" w:hAnsi="Calibri" w:eastAsia="Calibri"/>
          <w:sz w:val="24"/>
          <w:szCs w:val="24"/>
          <w:rtl w:val="0"/>
        </w:rPr>
        <w:t>;</w:t>
      </w:r>
    </w:p>
    <w:p>
      <w:pPr>
        <w:pStyle w:val="Κύριο τμήμα A"/>
        <w:spacing w:line="360" w:lineRule="auto"/>
        <w:jc w:val="right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5)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