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after="0" w:line="360" w:lineRule="auto"/>
        <w:ind w:left="0"/>
        <w:jc w:val="center"/>
        <w:rPr>
          <w:rFonts w:cs="Calibri"/>
          <w:b/>
          <w:bCs/>
          <w:szCs w:val="24"/>
        </w:rPr>
      </w:pPr>
      <w:r>
        <w:rPr>
          <w:rFonts w:cs="Calibri"/>
          <w:b/>
          <w:bCs/>
          <w:szCs w:val="24"/>
        </w:rPr>
        <w:t>ΔΙΔΑΓΜΕΝΟ ΚΕΙΜΕΝΟ</w:t>
      </w:r>
    </w:p>
    <w:p>
      <w:pPr>
        <w:pStyle w:val="11"/>
        <w:spacing w:line="360" w:lineRule="auto"/>
        <w:ind w:left="0"/>
        <w:jc w:val="center"/>
        <w:rPr>
          <w:rFonts w:cs="Calibri" w:eastAsiaTheme="minorHAnsi"/>
          <w:b/>
          <w:bCs/>
          <w:szCs w:val="24"/>
        </w:rPr>
      </w:pPr>
      <w:r>
        <w:rPr>
          <w:rFonts w:cs="Calibri"/>
          <w:b/>
          <w:bCs/>
          <w:szCs w:val="24"/>
        </w:rPr>
        <w:t xml:space="preserve">Πλάτων, </w:t>
      </w:r>
      <w:r>
        <w:rPr>
          <w:rFonts w:cs="Calibri"/>
          <w:b/>
          <w:bCs/>
          <w:i/>
          <w:iCs/>
          <w:szCs w:val="24"/>
        </w:rPr>
        <w:t>Πρωταγόρας</w:t>
      </w:r>
      <w:r>
        <w:rPr>
          <w:rFonts w:cs="Calibri"/>
          <w:b/>
          <w:bCs/>
          <w:szCs w:val="24"/>
        </w:rPr>
        <w:t>, 32</w:t>
      </w:r>
      <w:r>
        <w:rPr>
          <w:rFonts w:hint="default" w:cs="Calibri"/>
          <w:b/>
          <w:bCs/>
          <w:szCs w:val="24"/>
          <w:lang w:val="el-GR"/>
        </w:rPr>
        <w:t>1</w:t>
      </w:r>
      <w:r>
        <w:rPr>
          <w:rFonts w:hint="default" w:cs="Calibri"/>
          <w:b/>
          <w:bCs/>
          <w:szCs w:val="24"/>
          <w:lang w:val="en-US"/>
        </w:rPr>
        <w:t>b</w:t>
      </w:r>
      <w:bookmarkStart w:id="0" w:name="_GoBack"/>
      <w:bookmarkEnd w:id="0"/>
      <w:r>
        <w:rPr>
          <w:rFonts w:cs="Calibri"/>
          <w:b/>
          <w:bCs/>
          <w:szCs w:val="24"/>
        </w:rPr>
        <w:t>-322</w:t>
      </w:r>
      <w:r>
        <w:rPr>
          <w:rFonts w:cs="Calibri"/>
          <w:b/>
          <w:bCs/>
          <w:szCs w:val="24"/>
          <w:lang w:val="en-US"/>
        </w:rPr>
        <w:t>a</w:t>
      </w:r>
    </w:p>
    <w:p>
      <w:pPr>
        <w:pStyle w:val="11"/>
        <w:spacing w:after="0" w:line="360" w:lineRule="auto"/>
        <w:ind w:left="0"/>
        <w:rPr>
          <w:rFonts w:cs="Calibri"/>
          <w:szCs w:val="24"/>
        </w:rPr>
      </w:pPr>
      <w:r>
        <w:rPr>
          <w:rFonts w:cs="Calibri"/>
          <w:b/>
          <w:bCs/>
          <w:szCs w:val="24"/>
        </w:rPr>
        <w:t xml:space="preserve">Α1. </w:t>
      </w:r>
    </w:p>
    <w:p>
      <w:pPr>
        <w:spacing w:after="0" w:line="360" w:lineRule="auto"/>
        <w:rPr>
          <w:rFonts w:eastAsia="Calibri" w:cs="Calibri"/>
          <w:szCs w:val="24"/>
        </w:rPr>
      </w:pPr>
      <w:r>
        <w:rPr>
          <w:rFonts w:eastAsia="Calibri" w:cs="Calibri"/>
          <w:b/>
          <w:bCs/>
          <w:szCs w:val="24"/>
        </w:rPr>
        <w:t>α.</w:t>
      </w:r>
    </w:p>
    <w:p>
      <w:pPr>
        <w:pStyle w:val="11"/>
        <w:spacing w:after="0" w:line="360" w:lineRule="auto"/>
        <w:ind w:left="0"/>
        <w:rPr>
          <w:rFonts w:eastAsia="Calibri" w:cs="Calibri"/>
          <w:szCs w:val="24"/>
        </w:rPr>
      </w:pPr>
      <w:r>
        <w:rPr>
          <w:rFonts w:cs="Calibri" w:eastAsiaTheme="minorHAnsi"/>
          <w:szCs w:val="24"/>
        </w:rPr>
        <w:t xml:space="preserve">1-Σ: </w:t>
      </w:r>
      <w:r>
        <w:rPr>
          <w:rFonts w:cs="Calibri" w:eastAsiaTheme="minorHAnsi"/>
          <w:i/>
          <w:iCs/>
          <w:szCs w:val="24"/>
        </w:rPr>
        <w:t>ἀκόσμητον ἔτι αὐτῷ ἦν τὸ ἀνθρώπων γένος</w:t>
      </w:r>
    </w:p>
    <w:p>
      <w:pPr>
        <w:pStyle w:val="11"/>
        <w:spacing w:after="0" w:line="360" w:lineRule="auto"/>
        <w:ind w:left="0"/>
        <w:rPr>
          <w:rFonts w:eastAsia="Calibri" w:cs="Calibri"/>
          <w:szCs w:val="24"/>
        </w:rPr>
      </w:pPr>
      <w:r>
        <w:rPr>
          <w:rFonts w:cs="Calibri" w:eastAsiaTheme="minorHAnsi"/>
          <w:szCs w:val="24"/>
        </w:rPr>
        <w:t>2-Λ:</w:t>
      </w:r>
      <w:r>
        <w:rPr>
          <w:rFonts w:cs="Calibri" w:eastAsiaTheme="minorHAnsi"/>
          <w:i/>
          <w:iCs/>
          <w:szCs w:val="24"/>
        </w:rPr>
        <w:t xml:space="preserve"> ὁ Προμηθεὺς κλέπτει Ἡφαίστου καὶ Ἀθηνᾶς τὴν ἔντεχνον σοφίαν σὺν πυρί</w:t>
      </w:r>
    </w:p>
    <w:p>
      <w:pPr>
        <w:pStyle w:val="11"/>
        <w:spacing w:after="0" w:line="360" w:lineRule="auto"/>
        <w:ind w:left="0"/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3-Σ:  </w:t>
      </w:r>
      <w:r>
        <w:rPr>
          <w:rFonts w:cs="Calibri" w:eastAsiaTheme="minorHAnsi"/>
          <w:i/>
          <w:iCs/>
          <w:szCs w:val="24"/>
        </w:rPr>
        <w:t>ἔπειτα φωνὴν καὶ ὀνόματα ταχὺ διηρθρώσατο τῇ τέχνῃ</w:t>
      </w:r>
    </w:p>
    <w:p>
      <w:pPr>
        <w:pStyle w:val="11"/>
        <w:spacing w:after="0" w:line="360" w:lineRule="auto"/>
        <w:ind w:left="0"/>
        <w:rPr>
          <w:rFonts w:cs="Calibri"/>
          <w:b/>
          <w:bCs/>
          <w:szCs w:val="24"/>
        </w:rPr>
      </w:pPr>
      <w:r>
        <w:rPr>
          <w:rFonts w:eastAsia="Calibri" w:cs="Calibri"/>
          <w:b/>
          <w:bCs/>
          <w:szCs w:val="24"/>
        </w:rPr>
        <w:t xml:space="preserve">β. </w:t>
      </w:r>
      <w:r>
        <w:rPr>
          <w:rFonts w:eastAsia="Calibri" w:cs="Calibri"/>
          <w:szCs w:val="24"/>
        </w:rPr>
        <w:t xml:space="preserve">Οι άνθρωποι χρειάζονται επιπλέον τις προϋποθέσεις της οργανωμένης πολιτικής και κοινωνικής ζωής, δηλαδή την πολιτική τέχνη. Ο Προμηθέας, όμως, </w:t>
      </w:r>
      <w:r>
        <w:rPr>
          <w:rFonts w:eastAsia="Calibri" w:cs="Calibri"/>
          <w:bCs/>
          <w:szCs w:val="24"/>
        </w:rPr>
        <w:t>δεν μπορούσε να τους προσφέρει και την πολιτική τέχνη, την οποία κατείχε αποκλειστικά ο Δίας.</w:t>
      </w:r>
    </w:p>
    <w:p>
      <w:pPr>
        <w:spacing w:after="0" w:line="360" w:lineRule="auto"/>
        <w:rPr>
          <w:rFonts w:cs="Calibri"/>
          <w:szCs w:val="24"/>
        </w:rPr>
      </w:pPr>
      <w:r>
        <w:rPr>
          <w:rFonts w:cs="Calibri"/>
          <w:b/>
          <w:bCs/>
          <w:szCs w:val="24"/>
        </w:rPr>
        <w:t>Β1</w:t>
      </w:r>
      <w:r>
        <w:rPr>
          <w:rFonts w:cs="Calibri"/>
          <w:bCs/>
          <w:szCs w:val="24"/>
        </w:rPr>
        <w:t>.</w:t>
      </w:r>
    </w:p>
    <w:p>
      <w:pPr>
        <w:spacing w:after="0" w:line="360" w:lineRule="auto"/>
        <w:rPr>
          <w:rFonts w:cs="Calibri"/>
          <w:szCs w:val="24"/>
        </w:rPr>
      </w:pPr>
      <w:r>
        <w:rPr>
          <w:rFonts w:cs="Calibri"/>
          <w:szCs w:val="24"/>
        </w:rPr>
        <w:t>Ο Πρωταγόρας, κατά πάσα πιθανότητα, αναγνώριζε ότι η λατρεία προσιδιάζει στον άνθρωπο και ίσως είναι κάτι το απαραίτητο, χωρίς όμως να παίρνει θέση σχετικά με την ύπαρξη του αντικειμένου της, δηλαδή τους θεούς. Ο Πρωταγόρας δεν αρνιόταν την ύπαρξη των θεών, αλλά αρνιόταν να συζητήσει το θέμα επειδή η βεβαιότητα ήταν αδύνατη για ένα τέτοιο θέμα(αγνωστικιστής). Η αναφορά αυτή μπορεί να εξηγηθεί ποικιλοτρόπως π.χ.ότι πρόκειται κατά βάση για πλατωνική θεωρία που έντεχνα τοποθετείται στο στόμα του Πρωταγόρα ή ότι η λατρεία των θεών από τους ανθρώπους είναι αναμφισβήτητη πραγματικότητα, ένα ανθρωπολογικό δεδομένο που χρειάζεται ερμηνεία,και συμπεριλαμβάνεται στα επιτεύγματα του ανθρώπου στο πλαίσιο της πολιτισμικής ανέλιξής του (</w:t>
      </w:r>
      <w:r>
        <w:rPr>
          <w:rFonts w:cs="Calibri"/>
          <w:i/>
          <w:szCs w:val="24"/>
        </w:rPr>
        <w:t>ἐπειδὴ δὲ ὁ ἄνθρωπος θείας μετέσχε μοίρας, … ἐπεχείρει βωμούς τε ἱδρύεσθαι καὶ ἀγάλματα θεῶν</w:t>
      </w:r>
      <w:r>
        <w:rPr>
          <w:rFonts w:cs="Calibri"/>
          <w:szCs w:val="24"/>
        </w:rPr>
        <w:t>). Επιπλέον, ας μην ξεχνάμε ότι το ένστικτο της πίστης και της λατρείας είναι θεμελιώδες στην ανθρώπινη φύση, και η απόδοσή του σε θεϊκή συγγένεια δεν είναι κάτι το περίεργο σε μια αφήγηση που ομολογουμένως δίνεται σε μορφή λαϊκής μυθολογίας για να γίνει πιο ευχάριστη.</w:t>
      </w:r>
    </w:p>
    <w:p>
      <w:pPr>
        <w:spacing w:after="0" w:line="360" w:lineRule="auto"/>
        <w:rPr>
          <w:rFonts w:cs="Calibri"/>
          <w:szCs w:val="24"/>
        </w:rPr>
      </w:pPr>
      <w:r>
        <w:rPr>
          <w:rFonts w:cs="Calibri"/>
          <w:szCs w:val="24"/>
        </w:rPr>
        <w:t>Παράλληλα, η πρόταξη της θρησκευτικής συμπεριφοράς (</w:t>
      </w:r>
      <w:r>
        <w:rPr>
          <w:rFonts w:cs="Calibri"/>
          <w:i/>
          <w:iCs/>
          <w:szCs w:val="24"/>
        </w:rPr>
        <w:t>ἐπεχείρει βωμούς τε ἱδρύεσθαι καὶ ἀγάλματα θεῶν</w:t>
      </w:r>
      <w:r>
        <w:rPr>
          <w:rFonts w:cs="Calibri"/>
          <w:szCs w:val="24"/>
        </w:rPr>
        <w:t>») και του θρησκευτικού συναισθήματος (</w:t>
      </w:r>
      <w:r>
        <w:rPr>
          <w:rFonts w:cs="Calibri"/>
          <w:i/>
          <w:iCs/>
          <w:szCs w:val="24"/>
        </w:rPr>
        <w:t>θεοὺς ἐνόμισεν</w:t>
      </w:r>
      <w:r>
        <w:rPr>
          <w:rFonts w:cs="Calibri"/>
          <w:szCs w:val="24"/>
        </w:rPr>
        <w:t>) έναντι των άλλων επιτευγμάτων μπορεί να ερμηνευθεί και ως προβολή του υψηλότερου σημείου ανάπτυξης που παρουσίασε το ανθρώπινο είδος στο προμηθεϊκό στάδιο. Αυτό σημαίνει ότι ο Πρωταγόρας αξιολόγησε τη θρησκεία ως μία πολύ σημαντική κατάκτηση του ανθρώπου ανάμεσα στις άλλες, ως εκδήλωση πνευματικής ωριμότητας του ανθρώπου, γιατί ο άνθρωπος περνά από την απλή, ενστικτώδη ύπαρξη στην αναζήτηση των παραγόντων που δημιούργησαν τη φύση. (250 λέξεις)</w:t>
      </w:r>
    </w:p>
    <w:p>
      <w:pPr>
        <w:spacing w:after="0" w:line="360" w:lineRule="auto"/>
        <w:rPr>
          <w:rFonts w:cs="Calibri"/>
          <w:szCs w:val="24"/>
        </w:rPr>
      </w:pPr>
      <w:r>
        <w:rPr>
          <w:rFonts w:cs="Calibri"/>
          <w:b/>
          <w:bCs/>
          <w:szCs w:val="24"/>
        </w:rPr>
        <w:t xml:space="preserve">Β2.ΠΑΡΑΛΛΗΛΟ ΚΕΙΜΕΝΟ, Σοφοκλῆς, </w:t>
      </w:r>
      <w:r>
        <w:rPr>
          <w:rFonts w:cs="Calibri"/>
          <w:b/>
          <w:bCs/>
          <w:i/>
          <w:iCs/>
          <w:szCs w:val="24"/>
        </w:rPr>
        <w:t>Ἀντιγόνη</w:t>
      </w:r>
      <w:r>
        <w:rPr>
          <w:rFonts w:cs="Calibri"/>
          <w:b/>
          <w:bCs/>
          <w:szCs w:val="24"/>
        </w:rPr>
        <w:t>,στ. 332-364</w:t>
      </w:r>
    </w:p>
    <w:p>
      <w:pPr>
        <w:autoSpaceDE w:val="0"/>
        <w:autoSpaceDN w:val="0"/>
        <w:adjustRightInd w:val="0"/>
        <w:spacing w:after="0" w:line="360" w:lineRule="auto"/>
        <w:rPr>
          <w:rFonts w:cs="Calibri" w:eastAsiaTheme="minorHAnsi"/>
          <w:i/>
          <w:iCs/>
          <w:szCs w:val="24"/>
        </w:rPr>
      </w:pPr>
      <w:r>
        <w:rPr>
          <w:rFonts w:cs="Calibri"/>
          <w:szCs w:val="24"/>
        </w:rPr>
        <w:t>Και στα δύο κείμενα γίνεται αναφορά στην εξέλιξη του υλικοτεχνικού και πνευματικού πολιτισμού με τόνο ιδιαίτερα αισιόδοξο, καθώς απηχούν τις αισιόδοξες αντιλήψεις της εποχής. Τόσο ο Πρωταγόρας όσο και ο Σοφοκλής εκθειάζουν τον άνθρωπο, που κατόρθωσε να δαμάσει τη φύση και να κυριαρχήσει σε αυτήν</w:t>
      </w:r>
      <w:r>
        <w:rPr>
          <w:rFonts w:cs="Calibri" w:eastAsiaTheme="minorHAnsi"/>
          <w:i/>
          <w:iCs/>
          <w:szCs w:val="24"/>
        </w:rPr>
        <w:t xml:space="preserve"> (περνά τον αφρισμένο πόντο…και την υπέρτατη θεά, τη Γη,την άφθαρτη παιδεύει ... κυνηγά… δαμάζει με τεχνάσματα).</w:t>
      </w:r>
      <w:r>
        <w:rPr>
          <w:rFonts w:cs="Calibri"/>
          <w:szCs w:val="24"/>
        </w:rPr>
        <w:t xml:space="preserve"> Εντούτοις, ο σοφιστής μνημονεύει λιγότερα ανθρώπινα επιτεύγματα σε σύγκριση με τον Σοφοκλή ή δίνει διαφορετική έμφαση από τον ποιητή. Η παρουσίαση του Πρωταγόρα είναι συνοπτική και αξιολογική, καθώς προβάλλει πρώτα τον πνευματικό (θρησκευτική λατρεία και τέχνη, κατάκτηση έναρθρου λόγου) και στη συνέχεια τον υλικοτεχνικό πολιτισμό</w:t>
      </w:r>
      <w:r>
        <w:rPr>
          <w:rFonts w:cs="Calibri" w:eastAsiaTheme="minorHAnsi"/>
          <w:i/>
          <w:iCs/>
          <w:szCs w:val="24"/>
        </w:rPr>
        <w:t xml:space="preserve"> (πρῶτον …· ἔπειτα … καὶ..καὶ…καὶ…καὶ…καὶ…ηὕρετο)</w:t>
      </w:r>
      <w:r>
        <w:rPr>
          <w:rFonts w:cs="Calibri"/>
          <w:szCs w:val="24"/>
        </w:rPr>
        <w:t>, ενώ του Σοφοκλή είναι κυρίως χρονολογική και πιο αναλυτική (ναυτική τέχνη, γεωργία, κυνήγι, αλιεία, κτηνοτροφία, έναρθρος λόγος και σκέψη, πολιτική οργάνωση, αντιμετώπιση των καιρικών συνθηκών). Είναι εμφανές ότι ο Σοφοκλής παρουσιάζει τους ανθρώπους σε ένα μεταγενέστερο στάδιο κατά το οποίο έχουν κάνει σημαντικά βήματα στην ανάπτυξη του τεχνικού πολιτισμού και στη διαμόρφωση οργανωμένης πολιτικής ζωής, ενώ ο Πρωταγόρας αναφέρεται κυρίως στα αρχικά  στάδια της εξέλιξής του</w:t>
      </w:r>
      <w:r>
        <w:rPr>
          <w:rFonts w:cs="Calibri" w:eastAsiaTheme="minorHAnsi"/>
          <w:i/>
          <w:iCs/>
          <w:szCs w:val="24"/>
        </w:rPr>
        <w:t xml:space="preserve"> (καὶ οἰκήσεις καὶ ἐσθῆτας καὶ ὑποδέσεις καὶστρωμνὰς καὶ τὰς ἐκ γῆς τροφὰς ηὕρετο)</w:t>
      </w:r>
      <w:r>
        <w:rPr>
          <w:rFonts w:cs="Calibri"/>
          <w:szCs w:val="24"/>
        </w:rPr>
        <w:t>.Τέλος, ο σοφιστής αναδεικνύει τον καθοριστικό ρόλο του Προμηθέα, ενώ ο Χορός στην τραγωδία εκθειάζει την ικανότητα του ίδιου του ανθρώπου (</w:t>
      </w:r>
      <w:r>
        <w:rPr>
          <w:rFonts w:cs="Calibri" w:eastAsiaTheme="minorHAnsi"/>
          <w:i/>
          <w:iCs/>
          <w:szCs w:val="24"/>
        </w:rPr>
        <w:t>το μέγα δέος ο άνθρωπος γεννά</w:t>
      </w:r>
      <w:r>
        <w:rPr>
          <w:rFonts w:cs="Calibri"/>
          <w:szCs w:val="24"/>
        </w:rPr>
        <w:t>). (219 λέξεις)</w:t>
      </w:r>
      <w:r>
        <w:rPr>
          <w:rFonts w:cs="Calibri"/>
          <w:b/>
          <w:bCs/>
          <w:szCs w:val="24"/>
        </w:rPr>
        <w:tab/>
      </w:r>
    </w:p>
    <w:p>
      <w:pPr>
        <w:pStyle w:val="11"/>
        <w:spacing w:after="0" w:line="360" w:lineRule="auto"/>
        <w:ind w:left="0"/>
        <w:rPr>
          <w:rFonts w:cs="Calibri"/>
          <w:b/>
          <w:bCs/>
          <w:szCs w:val="24"/>
        </w:rPr>
      </w:pPr>
      <w:r>
        <w:rPr>
          <w:rFonts w:cs="Calibri"/>
          <w:b/>
          <w:bCs/>
          <w:szCs w:val="24"/>
        </w:rPr>
        <w:t>Β3.</w:t>
      </w:r>
      <w:r>
        <w:rPr>
          <w:rFonts w:cs="Calibri"/>
          <w:szCs w:val="24"/>
        </w:rPr>
        <w:t xml:space="preserve"> 1-δ, 2-ε, 3-α, 4-β, 5-γ</w:t>
      </w:r>
    </w:p>
    <w:p>
      <w:pPr>
        <w:pStyle w:val="11"/>
        <w:spacing w:line="360" w:lineRule="auto"/>
        <w:ind w:left="0"/>
        <w:rPr>
          <w:rFonts w:cs="Calibri"/>
          <w:b/>
          <w:bCs/>
          <w:szCs w:val="24"/>
        </w:rPr>
      </w:pPr>
      <w:r>
        <w:rPr>
          <w:rFonts w:cs="Calibri"/>
          <w:b/>
          <w:bCs/>
          <w:szCs w:val="24"/>
        </w:rPr>
        <w:t>Β4.</w:t>
      </w:r>
      <w:r>
        <w:rPr>
          <w:rFonts w:cs="Calibri" w:eastAsiaTheme="minorHAnsi"/>
          <w:i/>
          <w:iCs/>
          <w:szCs w:val="24"/>
        </w:rPr>
        <w:t xml:space="preserve">λοιπὸν, ἐμμελῶς, ἔδει, γῆς, ἐπεχείρει. </w:t>
      </w:r>
    </w:p>
    <w:p>
      <w:pPr>
        <w:rPr>
          <w:rFonts w:cs="Calibri"/>
          <w:szCs w:val="24"/>
        </w:rPr>
      </w:pPr>
    </w:p>
    <w:sectPr>
      <w:pgSz w:w="11906" w:h="16838"/>
      <w:pgMar w:top="1418" w:right="1418" w:bottom="1418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A1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E32CA"/>
    <w:rsid w:val="0001002E"/>
    <w:rsid w:val="00016278"/>
    <w:rsid w:val="0002304B"/>
    <w:rsid w:val="0005042B"/>
    <w:rsid w:val="0007190B"/>
    <w:rsid w:val="00075465"/>
    <w:rsid w:val="00077F2E"/>
    <w:rsid w:val="0009463B"/>
    <w:rsid w:val="000F290A"/>
    <w:rsid w:val="00133ED0"/>
    <w:rsid w:val="001A4E76"/>
    <w:rsid w:val="00256874"/>
    <w:rsid w:val="00257CC0"/>
    <w:rsid w:val="0026297F"/>
    <w:rsid w:val="00267B3D"/>
    <w:rsid w:val="002915F5"/>
    <w:rsid w:val="002B0643"/>
    <w:rsid w:val="002C6E3B"/>
    <w:rsid w:val="002D1D78"/>
    <w:rsid w:val="002E5039"/>
    <w:rsid w:val="002F2E3D"/>
    <w:rsid w:val="00310DDC"/>
    <w:rsid w:val="00326BE2"/>
    <w:rsid w:val="0034471E"/>
    <w:rsid w:val="00356F5E"/>
    <w:rsid w:val="00365C52"/>
    <w:rsid w:val="003A0C1F"/>
    <w:rsid w:val="003B3CC8"/>
    <w:rsid w:val="003D51D1"/>
    <w:rsid w:val="003E32CA"/>
    <w:rsid w:val="00423D21"/>
    <w:rsid w:val="00425FAF"/>
    <w:rsid w:val="00457D16"/>
    <w:rsid w:val="00465D3A"/>
    <w:rsid w:val="004A2A09"/>
    <w:rsid w:val="004A355A"/>
    <w:rsid w:val="004F4F46"/>
    <w:rsid w:val="00510E2C"/>
    <w:rsid w:val="00547B0C"/>
    <w:rsid w:val="00555100"/>
    <w:rsid w:val="005800C9"/>
    <w:rsid w:val="005A2C0E"/>
    <w:rsid w:val="005E1DF1"/>
    <w:rsid w:val="005E4569"/>
    <w:rsid w:val="005F177A"/>
    <w:rsid w:val="00600ED6"/>
    <w:rsid w:val="0062618A"/>
    <w:rsid w:val="006439F4"/>
    <w:rsid w:val="006642EF"/>
    <w:rsid w:val="006C5941"/>
    <w:rsid w:val="006E0BD8"/>
    <w:rsid w:val="00701FCE"/>
    <w:rsid w:val="00723E99"/>
    <w:rsid w:val="0076103A"/>
    <w:rsid w:val="0078249D"/>
    <w:rsid w:val="00786217"/>
    <w:rsid w:val="00790620"/>
    <w:rsid w:val="00791B90"/>
    <w:rsid w:val="007C23E3"/>
    <w:rsid w:val="007E4A29"/>
    <w:rsid w:val="00814E0D"/>
    <w:rsid w:val="00820C85"/>
    <w:rsid w:val="008251B8"/>
    <w:rsid w:val="0085197C"/>
    <w:rsid w:val="008C2257"/>
    <w:rsid w:val="008D33D2"/>
    <w:rsid w:val="00916B38"/>
    <w:rsid w:val="009241B5"/>
    <w:rsid w:val="009669AA"/>
    <w:rsid w:val="009B5CC0"/>
    <w:rsid w:val="009E6BEE"/>
    <w:rsid w:val="009E6C7A"/>
    <w:rsid w:val="00A0325A"/>
    <w:rsid w:val="00A31965"/>
    <w:rsid w:val="00A42C65"/>
    <w:rsid w:val="00A60467"/>
    <w:rsid w:val="00A638C6"/>
    <w:rsid w:val="00A63F64"/>
    <w:rsid w:val="00A85FF0"/>
    <w:rsid w:val="00AB253A"/>
    <w:rsid w:val="00AB3274"/>
    <w:rsid w:val="00AC5181"/>
    <w:rsid w:val="00AD7BF7"/>
    <w:rsid w:val="00AE5B4F"/>
    <w:rsid w:val="00B017AE"/>
    <w:rsid w:val="00B14C10"/>
    <w:rsid w:val="00B1564A"/>
    <w:rsid w:val="00B32333"/>
    <w:rsid w:val="00B323EE"/>
    <w:rsid w:val="00B74B38"/>
    <w:rsid w:val="00B84BBD"/>
    <w:rsid w:val="00B878F1"/>
    <w:rsid w:val="00BA1E75"/>
    <w:rsid w:val="00BA2124"/>
    <w:rsid w:val="00BD0C2D"/>
    <w:rsid w:val="00BD565A"/>
    <w:rsid w:val="00C6529F"/>
    <w:rsid w:val="00C76D2E"/>
    <w:rsid w:val="00C84589"/>
    <w:rsid w:val="00CA6912"/>
    <w:rsid w:val="00CC20E0"/>
    <w:rsid w:val="00CC4424"/>
    <w:rsid w:val="00CE598E"/>
    <w:rsid w:val="00CE6348"/>
    <w:rsid w:val="00D174A0"/>
    <w:rsid w:val="00D34E6C"/>
    <w:rsid w:val="00D75492"/>
    <w:rsid w:val="00D916BB"/>
    <w:rsid w:val="00DA299E"/>
    <w:rsid w:val="00DA3FB3"/>
    <w:rsid w:val="00DB12AB"/>
    <w:rsid w:val="00DE1E37"/>
    <w:rsid w:val="00E0119C"/>
    <w:rsid w:val="00E027CC"/>
    <w:rsid w:val="00E145CF"/>
    <w:rsid w:val="00E465E4"/>
    <w:rsid w:val="00E4716F"/>
    <w:rsid w:val="00E47861"/>
    <w:rsid w:val="00E56512"/>
    <w:rsid w:val="00E90FD4"/>
    <w:rsid w:val="00E94521"/>
    <w:rsid w:val="00EA5C78"/>
    <w:rsid w:val="00F17B0D"/>
    <w:rsid w:val="00F24533"/>
    <w:rsid w:val="00F34476"/>
    <w:rsid w:val="00FB528E"/>
    <w:rsid w:val="00FC02E0"/>
    <w:rsid w:val="4AF52C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jc w:val="both"/>
    </w:pPr>
    <w:rPr>
      <w:rFonts w:ascii="Calibri" w:hAnsi="Calibri" w:eastAsia="Times New Roman" w:cs="Times New Roman"/>
      <w:sz w:val="24"/>
      <w:szCs w:val="22"/>
      <w:lang w:val="el-G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4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5"/>
    <w:semiHidden/>
    <w:unhideWhenUsed/>
    <w:qFormat/>
    <w:uiPriority w:val="99"/>
    <w:rPr>
      <w:b/>
      <w:bCs/>
    </w:rPr>
  </w:style>
  <w:style w:type="character" w:styleId="8">
    <w:name w:val="footnote reference"/>
    <w:basedOn w:val="2"/>
    <w:semiHidden/>
    <w:unhideWhenUsed/>
    <w:qFormat/>
    <w:uiPriority w:val="0"/>
    <w:rPr>
      <w:vertAlign w:val="superscript"/>
    </w:rPr>
  </w:style>
  <w:style w:type="paragraph" w:styleId="9">
    <w:name w:val="footnote text"/>
    <w:basedOn w:val="1"/>
    <w:link w:val="13"/>
    <w:unhideWhenUsed/>
    <w:qFormat/>
    <w:uiPriority w:val="0"/>
    <w:pPr>
      <w:spacing w:after="0" w:line="240" w:lineRule="auto"/>
    </w:pPr>
    <w:rPr>
      <w:rFonts w:asciiTheme="minorHAnsi" w:hAnsiTheme="minorHAnsi" w:eastAsiaTheme="minorHAnsi" w:cstheme="minorBidi"/>
      <w:spacing w:val="10"/>
      <w:sz w:val="20"/>
      <w:szCs w:val="20"/>
    </w:rPr>
  </w:style>
  <w:style w:type="table" w:styleId="10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link w:val="12"/>
    <w:qFormat/>
    <w:uiPriority w:val="0"/>
    <w:pPr>
      <w:ind w:left="720"/>
      <w:contextualSpacing/>
    </w:pPr>
  </w:style>
  <w:style w:type="character" w:customStyle="1" w:styleId="12">
    <w:name w:val="Παράγραφος λίστας Char"/>
    <w:basedOn w:val="2"/>
    <w:link w:val="11"/>
    <w:qFormat/>
    <w:uiPriority w:val="0"/>
    <w:rPr>
      <w:rFonts w:ascii="Calibri" w:hAnsi="Calibri" w:eastAsia="Times New Roman" w:cs="Times New Roman"/>
      <w:sz w:val="24"/>
    </w:rPr>
  </w:style>
  <w:style w:type="character" w:customStyle="1" w:styleId="13">
    <w:name w:val="Κείμενο υποσημείωσης Char"/>
    <w:basedOn w:val="2"/>
    <w:link w:val="9"/>
    <w:qFormat/>
    <w:uiPriority w:val="0"/>
    <w:rPr>
      <w:spacing w:val="10"/>
      <w:sz w:val="20"/>
      <w:szCs w:val="20"/>
    </w:rPr>
  </w:style>
  <w:style w:type="character" w:customStyle="1" w:styleId="14">
    <w:name w:val="Κείμενο σχολίου Char"/>
    <w:basedOn w:val="2"/>
    <w:link w:val="6"/>
    <w:semiHidden/>
    <w:qFormat/>
    <w:uiPriority w:val="99"/>
    <w:rPr>
      <w:rFonts w:ascii="Calibri" w:hAnsi="Calibri" w:eastAsia="Times New Roman" w:cs="Times New Roman"/>
      <w:sz w:val="20"/>
      <w:szCs w:val="20"/>
    </w:rPr>
  </w:style>
  <w:style w:type="character" w:customStyle="1" w:styleId="15">
    <w:name w:val="Θέμα σχολίου Char"/>
    <w:basedOn w:val="14"/>
    <w:link w:val="7"/>
    <w:semiHidden/>
    <w:qFormat/>
    <w:uiPriority w:val="99"/>
    <w:rPr>
      <w:b/>
      <w:bCs/>
    </w:rPr>
  </w:style>
  <w:style w:type="character" w:customStyle="1" w:styleId="16">
    <w:name w:val="Κείμενο πλαισίου Char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599</Words>
  <Characters>3235</Characters>
  <Lines>26</Lines>
  <Paragraphs>7</Paragraphs>
  <TotalTime>3</TotalTime>
  <ScaleCrop>false</ScaleCrop>
  <LinksUpToDate>false</LinksUpToDate>
  <CharactersWithSpaces>3827</CharactersWithSpaces>
  <Application>WPS Office_11.2.0.11029_F1E327BC-269C-435d-A152-05C5408002CA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2022-11-03T16:24:00Z</dcterms:created>
  <dc:creator>ΙΩΑΝΝΗΣ ΠΑΝΑΓΙΩΤΗΣ ΑΜΠΕΛΑΣ</dc:creator>
  <cp:lastModifiedBy>user</cp:lastModifiedBy>
  <cp:lastPrinted>2022-10-31T10:47:00Z</cp:lastPrinted>
  <dcterms:modified xsi:type="dcterms:W3CDTF">2022-11-04T13:45:18Z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FF3A3E348EE64FF09566BD84EA595432</vt:lpwstr>
  </property>
</Properties>
</file>