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4B4FC8C4" w:rsidR="003C6629" w:rsidRPr="008222B8" w:rsidRDefault="003C6629" w:rsidP="00D67B50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0C9FF962" w14:textId="7EDE4197" w:rsidR="00C67846" w:rsidRDefault="00023886" w:rsidP="00D67B50">
      <w:pPr>
        <w:pStyle w:val="Default"/>
        <w:spacing w:line="360" w:lineRule="auto"/>
        <w:jc w:val="both"/>
        <w:rPr>
          <w:rFonts w:asciiTheme="minorHAnsi" w:hAnsiTheme="minorHAnsi"/>
          <w:b/>
          <w:sz w:val="22"/>
          <w:szCs w:val="22"/>
          <w:lang w:val="el-GR"/>
        </w:rPr>
      </w:pPr>
      <w:r w:rsidRPr="00C02619">
        <w:rPr>
          <w:rFonts w:asciiTheme="minorHAnsi" w:hAnsiTheme="minorHAnsi"/>
          <w:b/>
          <w:sz w:val="22"/>
          <w:szCs w:val="22"/>
          <w:lang w:val="el-GR"/>
        </w:rPr>
        <w:t>2.1</w:t>
      </w:r>
      <w:r w:rsidR="00467985" w:rsidRPr="00C02619">
        <w:rPr>
          <w:rFonts w:asciiTheme="minorHAnsi" w:hAnsiTheme="minorHAnsi"/>
          <w:b/>
          <w:sz w:val="22"/>
          <w:szCs w:val="22"/>
          <w:lang w:val="el-GR"/>
        </w:rPr>
        <w:t>.</w:t>
      </w:r>
      <w:r w:rsidR="003C6629" w:rsidRPr="00C02619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</w:p>
    <w:p w14:paraId="300D1620" w14:textId="4AF02C5B" w:rsidR="00C67846" w:rsidRDefault="00C67846" w:rsidP="00C67846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Σωστή απάντηση είναι η (</w:t>
      </w:r>
      <w:r w:rsidR="001338E8">
        <w:rPr>
          <w:rFonts w:asciiTheme="minorHAnsi" w:hAnsiTheme="minorHAnsi"/>
          <w:sz w:val="22"/>
          <w:szCs w:val="22"/>
        </w:rPr>
        <w:t>α</w:t>
      </w:r>
      <w:r>
        <w:rPr>
          <w:rFonts w:asciiTheme="minorHAnsi" w:hAnsiTheme="minorHAnsi"/>
          <w:sz w:val="22"/>
          <w:szCs w:val="22"/>
        </w:rPr>
        <w:t xml:space="preserve">) 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011697EE" w14:textId="1F830608" w:rsidR="00C67846" w:rsidRDefault="00C67846" w:rsidP="00C67846">
      <w:pPr>
        <w:spacing w:line="360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7511F7F8" w14:textId="30CE148C" w:rsidR="00C67846" w:rsidRDefault="00C67846" w:rsidP="00C67846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23CDB107" w14:textId="165608B3" w:rsidR="00584585" w:rsidRDefault="0044672A" w:rsidP="003050B1">
      <w:pPr>
        <w:spacing w:line="360" w:lineRule="auto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Από το διάγραμμα που μας δίνεται συμπεραίνουμε ότι: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=+5</m:t>
        </m:r>
        <m:f>
          <m:fPr>
            <m:ctrlPr>
              <w:rPr>
                <w:rFonts w:ascii="Cambria Math" w:hAnsi="Cambria Math"/>
                <w:bCs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,  </m:t>
        </m:r>
        <m:sSub>
          <m:sSubPr>
            <m:ctrlPr>
              <w:rPr>
                <w:rFonts w:ascii="Cambria Math" w:hAnsi="Cambria Math"/>
                <w:bCs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=-5</m:t>
        </m:r>
        <m:f>
          <m:fPr>
            <m:ctrlPr>
              <w:rPr>
                <w:rFonts w:ascii="Cambria Math" w:hAnsi="Cambria Math"/>
                <w:bCs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,  </m:t>
        </m:r>
        <m:sSubSup>
          <m:sSubSupPr>
            <m:ctrlPr>
              <w:rPr>
                <w:rFonts w:ascii="Cambria Math" w:hAnsi="Cambria Math"/>
                <w:bCs/>
                <w:i/>
                <w:iCs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bSup>
        <m:r>
          <w:rPr>
            <w:rFonts w:ascii="Cambria Math" w:hAnsi="Cambria Math"/>
            <w:sz w:val="22"/>
            <w:szCs w:val="22"/>
          </w:rPr>
          <m:t>=-11</m:t>
        </m:r>
        <m:f>
          <m:fPr>
            <m:ctrlPr>
              <w:rPr>
                <w:rFonts w:ascii="Cambria Math" w:hAnsi="Cambria Math"/>
                <w:bCs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, </m:t>
        </m:r>
        <m:sSubSup>
          <m:sSubSupPr>
            <m:ctrlPr>
              <w:rPr>
                <w:rFonts w:ascii="Cambria Math" w:hAnsi="Cambria Math"/>
                <w:bCs/>
                <w:i/>
                <w:iCs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bSup>
        <m:r>
          <w:rPr>
            <w:rFonts w:ascii="Cambria Math" w:hAnsi="Cambria Math"/>
            <w:sz w:val="22"/>
            <w:szCs w:val="22"/>
          </w:rPr>
          <m:t>=-1</m:t>
        </m:r>
        <m:f>
          <m:fPr>
            <m:ctrlPr>
              <w:rPr>
                <w:rFonts w:ascii="Cambria Math" w:hAnsi="Cambria Math"/>
                <w:bCs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 </m:t>
        </m:r>
      </m:oMath>
      <w:r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584585">
        <w:rPr>
          <w:rFonts w:asciiTheme="minorHAnsi" w:hAnsiTheme="minorHAnsi"/>
          <w:bCs/>
          <w:iCs/>
          <w:sz w:val="22"/>
          <w:szCs w:val="22"/>
        </w:rPr>
        <w:t>Η κρούση δεν είναι πλαστική γιατί οι ταχύτητες των σωμάτων μετά την κρούση είναι διαφορετικές.</w:t>
      </w:r>
    </w:p>
    <w:p w14:paraId="509A6D26" w14:textId="4350AF53" w:rsidR="003050B1" w:rsidRDefault="004D5BB5" w:rsidP="003050B1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 xml:space="preserve">Κατά την </w:t>
      </w:r>
      <w:r w:rsidR="00FD4DDB">
        <w:rPr>
          <w:rFonts w:asciiTheme="minorHAnsi" w:hAnsiTheme="minorHAnsi"/>
          <w:bCs/>
          <w:iCs/>
          <w:sz w:val="22"/>
          <w:szCs w:val="22"/>
        </w:rPr>
        <w:t xml:space="preserve">κρούση </w:t>
      </w:r>
      <w:r>
        <w:rPr>
          <w:rFonts w:asciiTheme="minorHAnsi" w:hAnsiTheme="minorHAnsi"/>
          <w:bCs/>
          <w:iCs/>
          <w:sz w:val="22"/>
          <w:szCs w:val="22"/>
        </w:rPr>
        <w:t>το σύστημα θεωρείται μονωμένο</w:t>
      </w:r>
      <w:r w:rsidR="00FD4DDB">
        <w:rPr>
          <w:rFonts w:asciiTheme="minorHAnsi" w:hAnsiTheme="minorHAnsi"/>
          <w:bCs/>
          <w:iCs/>
          <w:sz w:val="22"/>
          <w:szCs w:val="22"/>
        </w:rPr>
        <w:t>.</w:t>
      </w:r>
      <w:r w:rsidR="003050B1">
        <w:rPr>
          <w:rFonts w:asciiTheme="minorHAnsi" w:hAnsiTheme="minorHAnsi"/>
          <w:bCs/>
          <w:iCs/>
          <w:sz w:val="22"/>
          <w:szCs w:val="22"/>
        </w:rPr>
        <w:t xml:space="preserve"> Εφαρμόζουμε </w:t>
      </w:r>
      <w:r w:rsidR="007C712F">
        <w:rPr>
          <w:rFonts w:asciiTheme="minorHAnsi" w:hAnsiTheme="minorHAnsi"/>
          <w:bCs/>
          <w:sz w:val="22"/>
          <w:szCs w:val="22"/>
        </w:rPr>
        <w:t>Αρχή Διατήρησης της ορμής</w:t>
      </w:r>
      <w:r w:rsidR="00FD4DDB">
        <w:rPr>
          <w:rFonts w:asciiTheme="minorHAnsi" w:hAnsiTheme="minorHAnsi"/>
          <w:bCs/>
          <w:sz w:val="22"/>
          <w:szCs w:val="22"/>
        </w:rPr>
        <w:t>.</w:t>
      </w:r>
      <w:r w:rsidR="002A7661" w:rsidRPr="002A7661">
        <w:rPr>
          <w:rFonts w:asciiTheme="minorHAnsi" w:hAnsiTheme="minorHAnsi"/>
          <w:bCs/>
          <w:sz w:val="22"/>
          <w:szCs w:val="22"/>
        </w:rPr>
        <w:t xml:space="preserve">  </w:t>
      </w:r>
    </w:p>
    <w:p w14:paraId="7FB64490" w14:textId="587D0E4C" w:rsidR="007C712F" w:rsidRPr="003050B1" w:rsidRDefault="00000000" w:rsidP="003050B1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πριν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μετά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⇒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'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'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 xml:space="preserve"> ⇒5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-5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=-11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⇒4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(1)</m:t>
          </m:r>
        </m:oMath>
      </m:oMathPara>
    </w:p>
    <w:p w14:paraId="0C2E746E" w14:textId="46A86C5A" w:rsidR="002A7661" w:rsidRDefault="00EA5CA1" w:rsidP="003050B1">
      <w:pPr>
        <w:pStyle w:val="Default"/>
        <w:spacing w:line="360" w:lineRule="auto"/>
        <w:jc w:val="both"/>
        <w:rPr>
          <w:rFonts w:asciiTheme="minorHAnsi" w:hAnsiTheme="minorHAnsi"/>
          <w:bCs/>
          <w:sz w:val="22"/>
          <w:szCs w:val="22"/>
          <w:lang w:val="el-GR"/>
        </w:rPr>
      </w:pPr>
      <w:r>
        <w:rPr>
          <w:rFonts w:asciiTheme="minorHAnsi" w:hAnsiTheme="minorHAnsi"/>
          <w:bCs/>
          <w:sz w:val="22"/>
          <w:szCs w:val="22"/>
          <w:lang w:val="el-GR"/>
        </w:rPr>
        <w:t xml:space="preserve">Αν η κινητική ενέργεια του συστήματος πριν την κρούση,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  <w:lang w:val="el-GR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l-GR"/>
              </w:rPr>
              <m:t>Κ</m:t>
            </m:r>
          </m:e>
          <m:sub>
            <m:r>
              <w:rPr>
                <w:rFonts w:ascii="Cambria Math" w:hAnsi="Cambria Math"/>
                <w:sz w:val="22"/>
                <w:szCs w:val="22"/>
                <w:lang w:val="el-GR"/>
              </w:rPr>
              <m:t>πριν</m:t>
            </m:r>
          </m:sub>
        </m:sSub>
      </m:oMath>
      <w:r>
        <w:rPr>
          <w:rFonts w:asciiTheme="minorHAnsi" w:eastAsiaTheme="minorEastAsia" w:hAnsiTheme="minorHAnsi"/>
          <w:bCs/>
          <w:sz w:val="22"/>
          <w:szCs w:val="22"/>
          <w:lang w:val="el-GR"/>
        </w:rPr>
        <w:t xml:space="preserve">, είναι ίση με την κινητική ενέργεια του συστήματος μετά την κρούση, </w:t>
      </w:r>
      <m:oMath>
        <m:sSub>
          <m:sSubPr>
            <m:ctrlPr>
              <w:rPr>
                <w:rFonts w:ascii="Cambria Math" w:eastAsiaTheme="minorEastAsia" w:hAnsi="Cambria Math"/>
                <w:bCs/>
                <w:i/>
                <w:sz w:val="22"/>
                <w:szCs w:val="22"/>
                <w:lang w:val="el-GR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  <w:lang w:val="el-GR"/>
              </w:rPr>
              <m:t>Κ</m:t>
            </m:r>
          </m:e>
          <m:sub>
            <m:r>
              <w:rPr>
                <w:rFonts w:ascii="Cambria Math" w:eastAsiaTheme="minorEastAsia" w:hAnsi="Cambria Math"/>
                <w:sz w:val="22"/>
                <w:szCs w:val="22"/>
                <w:lang w:val="el-GR"/>
              </w:rPr>
              <m:t>μετά</m:t>
            </m:r>
          </m:sub>
        </m:sSub>
      </m:oMath>
      <w:r>
        <w:rPr>
          <w:rFonts w:asciiTheme="minorHAnsi" w:eastAsiaTheme="minorEastAsia" w:hAnsiTheme="minorHAnsi"/>
          <w:bCs/>
          <w:sz w:val="22"/>
          <w:szCs w:val="22"/>
          <w:lang w:val="el-GR"/>
        </w:rPr>
        <w:t xml:space="preserve">, </w:t>
      </w:r>
      <w:r>
        <w:rPr>
          <w:rFonts w:asciiTheme="minorHAnsi" w:hAnsiTheme="minorHAnsi"/>
          <w:bCs/>
          <w:sz w:val="22"/>
          <w:szCs w:val="22"/>
          <w:lang w:val="el-GR"/>
        </w:rPr>
        <w:t xml:space="preserve">η κρούση </w:t>
      </w:r>
      <w:r w:rsidR="00177B02">
        <w:rPr>
          <w:rFonts w:asciiTheme="minorHAnsi" w:hAnsiTheme="minorHAnsi"/>
          <w:bCs/>
          <w:sz w:val="22"/>
          <w:szCs w:val="22"/>
          <w:lang w:val="el-GR"/>
        </w:rPr>
        <w:t xml:space="preserve">είναι </w:t>
      </w:r>
      <w:r>
        <w:rPr>
          <w:rFonts w:asciiTheme="minorHAnsi" w:hAnsiTheme="minorHAnsi"/>
          <w:bCs/>
          <w:sz w:val="22"/>
          <w:szCs w:val="22"/>
          <w:lang w:val="el-GR"/>
        </w:rPr>
        <w:t xml:space="preserve">ελαστική. Σε αντίθετη περίπτωση η κρούση είναι ανελαστική. </w:t>
      </w:r>
      <w:r w:rsidR="002A7661" w:rsidRPr="002A7661">
        <w:rPr>
          <w:rFonts w:asciiTheme="minorHAnsi" w:hAnsiTheme="minorHAnsi"/>
          <w:bCs/>
          <w:sz w:val="22"/>
          <w:szCs w:val="22"/>
          <w:lang w:val="el-GR"/>
        </w:rPr>
        <w:t xml:space="preserve">  </w:t>
      </w:r>
    </w:p>
    <w:p w14:paraId="50C0D9AA" w14:textId="3C8E9D14" w:rsidR="003050B1" w:rsidRPr="009E560F" w:rsidRDefault="00000000" w:rsidP="003050B1">
      <w:pPr>
        <w:pStyle w:val="Default"/>
        <w:spacing w:line="360" w:lineRule="auto"/>
        <w:jc w:val="center"/>
        <w:rPr>
          <w:rFonts w:asciiTheme="minorHAnsi" w:eastAsiaTheme="minorEastAsia" w:hAnsiTheme="minorHAnsi"/>
          <w:bCs/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l-GR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πριν</m:t>
              </m:r>
            </m:sub>
          </m:sSub>
          <m:r>
            <w:rPr>
              <w:rFonts w:ascii="Cambria Math" w:hAnsi="Cambria Math"/>
              <w:sz w:val="22"/>
              <w:szCs w:val="22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l-GR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 xml:space="preserve"> ⇒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l-GR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πριν</m:t>
              </m:r>
            </m:sub>
          </m:sSub>
          <m:r>
            <w:rPr>
              <w:rFonts w:ascii="Cambria Math" w:hAnsi="Cambria Math"/>
              <w:sz w:val="22"/>
              <w:szCs w:val="22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l-GR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25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25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</m:t>
          </m:r>
          <m:box>
            <m:boxPr>
              <m:opEmu m:val="1"/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(1)</m:t>
                  </m:r>
                </m:e>
              </m:groupChr>
            </m:e>
          </m:box>
          <m:r>
            <w:rPr>
              <w:rFonts w:ascii="Cambria Math" w:hAns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l-GR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πριν</m:t>
              </m:r>
            </m:sub>
          </m:sSub>
          <m:r>
            <w:rPr>
              <w:rFonts w:ascii="Cambria Math" w:hAnsi="Cambria Math"/>
              <w:sz w:val="22"/>
              <w:szCs w:val="22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l-GR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125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</m:t>
          </m:r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SI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  (2)</m:t>
          </m:r>
        </m:oMath>
      </m:oMathPara>
    </w:p>
    <w:p w14:paraId="78C0FB04" w14:textId="5D74159E" w:rsidR="009E560F" w:rsidRPr="000F6115" w:rsidRDefault="00000000" w:rsidP="003050B1">
      <w:pPr>
        <w:pStyle w:val="Default"/>
        <w:spacing w:line="360" w:lineRule="auto"/>
        <w:jc w:val="center"/>
        <w:rPr>
          <w:rFonts w:asciiTheme="minorHAnsi" w:eastAsiaTheme="minorEastAsia" w:hAnsiTheme="minorHAnsi"/>
          <w:bCs/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l-GR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μετά</m:t>
              </m:r>
            </m:sub>
          </m:sSub>
          <m:r>
            <w:rPr>
              <w:rFonts w:ascii="Cambria Math" w:hAnsi="Cambria Math"/>
              <w:sz w:val="22"/>
              <w:szCs w:val="22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l-GR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'2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'2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 xml:space="preserve"> ⇒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l-GR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μετά</m:t>
              </m:r>
            </m:sub>
          </m:sSub>
          <m:r>
            <w:rPr>
              <w:rFonts w:ascii="Cambria Math" w:hAnsi="Cambria Math"/>
              <w:sz w:val="22"/>
              <w:szCs w:val="22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l-GR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121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</m:t>
          </m:r>
          <m:box>
            <m:boxPr>
              <m:opEmu m:val="1"/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(1)</m:t>
                  </m:r>
                </m:e>
              </m:groupChr>
            </m:e>
          </m:box>
          <m:r>
            <w:rPr>
              <w:rFonts w:ascii="Cambria Math" w:hAns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l-GR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μετά</m:t>
              </m:r>
            </m:sub>
          </m:sSub>
          <m:r>
            <w:rPr>
              <w:rFonts w:ascii="Cambria Math" w:hAnsi="Cambria Math"/>
              <w:sz w:val="22"/>
              <w:szCs w:val="22"/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  <w:lang w:val="el-GR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125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l-GR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</m:t>
          </m:r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SI</m:t>
              </m:r>
            </m:e>
          </m:d>
          <m:r>
            <w:rPr>
              <w:rFonts w:ascii="Cambria Math" w:hAnsi="Cambria Math"/>
              <w:sz w:val="22"/>
              <w:szCs w:val="22"/>
            </w:rPr>
            <m:t xml:space="preserve">  (3)</m:t>
          </m:r>
        </m:oMath>
      </m:oMathPara>
    </w:p>
    <w:p w14:paraId="6BF0CC04" w14:textId="7C2B3583" w:rsidR="000F6115" w:rsidRPr="000F6115" w:rsidRDefault="000F6115" w:rsidP="000F6115">
      <w:pPr>
        <w:pStyle w:val="Default"/>
        <w:spacing w:line="360" w:lineRule="auto"/>
        <w:jc w:val="both"/>
        <w:rPr>
          <w:rFonts w:asciiTheme="minorHAnsi" w:hAnsiTheme="minorHAnsi"/>
          <w:bCs/>
          <w:iCs/>
          <w:sz w:val="22"/>
          <w:szCs w:val="22"/>
          <w:lang w:val="el-GR"/>
        </w:rPr>
      </w:pPr>
      <w:r>
        <w:rPr>
          <w:rFonts w:asciiTheme="minorHAnsi" w:eastAsiaTheme="minorEastAsia" w:hAnsiTheme="minorHAnsi"/>
          <w:bCs/>
          <w:iCs/>
          <w:sz w:val="22"/>
          <w:szCs w:val="22"/>
          <w:lang w:val="el-GR"/>
        </w:rPr>
        <w:t>Από τις σχέσεις (2) και (3) προκύπτει ότι η κρούση είναι ελαστική.</w:t>
      </w:r>
    </w:p>
    <w:p w14:paraId="0AA26B3C" w14:textId="7FCEA437" w:rsidR="003625EF" w:rsidRPr="003625EF" w:rsidRDefault="003625EF" w:rsidP="00D67B50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210E93D8" w14:textId="263216C8" w:rsidR="00AC046B" w:rsidRDefault="00656A11" w:rsidP="00962F9D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</w:p>
    <w:p w14:paraId="474A87EE" w14:textId="109F4282" w:rsidR="00AC046B" w:rsidRPr="00F2693F" w:rsidRDefault="00AC046B" w:rsidP="00AC046B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F2693F">
        <w:rPr>
          <w:rFonts w:asciiTheme="minorHAnsi" w:hAnsiTheme="minorHAnsi"/>
          <w:b/>
          <w:sz w:val="22"/>
          <w:szCs w:val="22"/>
        </w:rPr>
        <w:t xml:space="preserve">2.2.Α. </w:t>
      </w:r>
      <w:r>
        <w:rPr>
          <w:rFonts w:asciiTheme="minorHAnsi" w:hAnsiTheme="minorHAnsi"/>
          <w:bCs/>
          <w:sz w:val="22"/>
          <w:szCs w:val="22"/>
        </w:rPr>
        <w:t xml:space="preserve">Σωστή απάντηση είναι η </w:t>
      </w:r>
      <w:r w:rsidR="00BB4094">
        <w:rPr>
          <w:rFonts w:asciiTheme="minorHAnsi" w:hAnsiTheme="minorHAnsi"/>
          <w:bCs/>
          <w:sz w:val="22"/>
          <w:szCs w:val="22"/>
        </w:rPr>
        <w:t>(</w:t>
      </w:r>
      <w:r w:rsidR="000F6115">
        <w:rPr>
          <w:rFonts w:asciiTheme="minorHAnsi" w:hAnsiTheme="minorHAnsi"/>
          <w:bCs/>
          <w:sz w:val="22"/>
          <w:szCs w:val="22"/>
        </w:rPr>
        <w:t>γ</w:t>
      </w:r>
      <w:r w:rsidR="00BB4094">
        <w:rPr>
          <w:rFonts w:asciiTheme="minorHAnsi" w:hAnsiTheme="minorHAnsi"/>
          <w:bCs/>
          <w:sz w:val="22"/>
          <w:szCs w:val="22"/>
        </w:rPr>
        <w:t>)</w:t>
      </w:r>
    </w:p>
    <w:p w14:paraId="114D93B9" w14:textId="416D8FE8" w:rsidR="00AC046B" w:rsidRPr="00967C9F" w:rsidRDefault="00AC046B" w:rsidP="00AC046B">
      <w:pPr>
        <w:spacing w:line="360" w:lineRule="auto"/>
        <w:ind w:firstLine="720"/>
        <w:jc w:val="right"/>
        <w:rPr>
          <w:rFonts w:asciiTheme="minorHAnsi" w:hAnsiTheme="minorHAnsi"/>
          <w:b/>
          <w:i/>
          <w:iCs/>
          <w:sz w:val="22"/>
          <w:szCs w:val="22"/>
        </w:rPr>
      </w:pPr>
      <w:r w:rsidRPr="00967C9F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14362CB3" w14:textId="414750C3" w:rsidR="00380860" w:rsidRDefault="00E23769" w:rsidP="00BB4094">
      <w:p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6C52484" wp14:editId="0448D044">
            <wp:simplePos x="0" y="0"/>
            <wp:positionH relativeFrom="column">
              <wp:posOffset>3456940</wp:posOffset>
            </wp:positionH>
            <wp:positionV relativeFrom="paragraph">
              <wp:posOffset>989714</wp:posOffset>
            </wp:positionV>
            <wp:extent cx="3035808" cy="237744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808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094" w:rsidRPr="00F2693F">
        <w:rPr>
          <w:rFonts w:ascii="Calibri" w:hAnsi="Calibri"/>
          <w:b/>
          <w:sz w:val="22"/>
          <w:szCs w:val="22"/>
        </w:rPr>
        <w:t>2.2.</w:t>
      </w:r>
      <w:r w:rsidR="00BB4094" w:rsidRPr="00F2693F">
        <w:rPr>
          <w:rFonts w:ascii="Calibri" w:hAnsi="Calibri"/>
          <w:b/>
          <w:sz w:val="22"/>
          <w:szCs w:val="22"/>
          <w:lang w:val="en-US"/>
        </w:rPr>
        <w:t>B</w:t>
      </w:r>
      <w:r w:rsidR="00BB4094" w:rsidRPr="00F2693F">
        <w:rPr>
          <w:rFonts w:ascii="Calibri" w:hAnsi="Calibri"/>
          <w:b/>
          <w:sz w:val="22"/>
          <w:szCs w:val="22"/>
        </w:rPr>
        <w:t>.</w:t>
      </w:r>
      <w:r w:rsidR="00BB4094">
        <w:rPr>
          <w:rFonts w:ascii="Calibri" w:hAnsi="Calibri"/>
          <w:b/>
          <w:sz w:val="22"/>
          <w:szCs w:val="22"/>
        </w:rPr>
        <w:t xml:space="preserve"> </w:t>
      </w:r>
      <w:r w:rsidR="000F6115" w:rsidRPr="000F6115">
        <w:rPr>
          <w:rFonts w:ascii="Calibri" w:hAnsi="Calibri"/>
          <w:bCs/>
          <w:sz w:val="22"/>
          <w:szCs w:val="22"/>
        </w:rPr>
        <w:t xml:space="preserve">Η </w:t>
      </w:r>
      <w:r w:rsidR="000F6115">
        <w:rPr>
          <w:rFonts w:ascii="Calibri" w:hAnsi="Calibri"/>
          <w:bCs/>
          <w:sz w:val="22"/>
          <w:szCs w:val="22"/>
        </w:rPr>
        <w:t xml:space="preserve">συχνότητα του </w:t>
      </w:r>
      <w:r w:rsidR="00380860">
        <w:rPr>
          <w:rFonts w:ascii="Calibri" w:hAnsi="Calibri"/>
          <w:bCs/>
          <w:sz w:val="22"/>
          <w:szCs w:val="22"/>
        </w:rPr>
        <w:t>τροχού-</w:t>
      </w:r>
      <w:r w:rsidR="000F6115">
        <w:rPr>
          <w:rFonts w:ascii="Calibri" w:hAnsi="Calibri"/>
          <w:bCs/>
          <w:sz w:val="22"/>
          <w:szCs w:val="22"/>
        </w:rPr>
        <w:t>διεγέρτη</w:t>
      </w:r>
      <w:r w:rsidR="00380860" w:rsidRPr="00380860">
        <w:rPr>
          <w:rFonts w:ascii="Calibri" w:hAnsi="Calibri"/>
          <w:bCs/>
          <w:sz w:val="22"/>
          <w:szCs w:val="22"/>
        </w:rPr>
        <w:t xml:space="preserve"> </w:t>
      </w:r>
      <w:r w:rsidR="00380860">
        <w:rPr>
          <w:rFonts w:ascii="Calibri" w:hAnsi="Calibri"/>
          <w:bCs/>
          <w:sz w:val="22"/>
          <w:szCs w:val="22"/>
        </w:rPr>
        <w:t>είναι αντίστροφ</w:t>
      </w:r>
      <w:r w:rsidR="002C29BB">
        <w:rPr>
          <w:rFonts w:ascii="Calibri" w:hAnsi="Calibri"/>
          <w:bCs/>
          <w:sz w:val="22"/>
          <w:szCs w:val="22"/>
        </w:rPr>
        <w:t>α ανάλογη</w:t>
      </w:r>
      <w:r w:rsidR="00380860">
        <w:rPr>
          <w:rFonts w:ascii="Calibri" w:hAnsi="Calibri"/>
          <w:bCs/>
          <w:sz w:val="22"/>
          <w:szCs w:val="22"/>
        </w:rPr>
        <w:t xml:space="preserve"> της περιόδου του,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διεγ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Τ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διεγ</m:t>
                </m:r>
              </m:sub>
            </m:sSub>
          </m:den>
        </m:f>
      </m:oMath>
      <w:r w:rsidR="00380860">
        <w:rPr>
          <w:rFonts w:ascii="Calibri" w:hAnsi="Calibri"/>
          <w:bCs/>
          <w:sz w:val="22"/>
          <w:szCs w:val="22"/>
        </w:rPr>
        <w:t xml:space="preserve">. </w:t>
      </w:r>
      <w:r w:rsidR="00380860">
        <w:rPr>
          <w:rFonts w:asciiTheme="minorHAnsi" w:hAnsiTheme="minorHAnsi" w:cstheme="minorHAnsi"/>
          <w:bCs/>
          <w:iCs/>
          <w:sz w:val="22"/>
          <w:szCs w:val="22"/>
        </w:rPr>
        <w:t xml:space="preserve"> Όταν η περίοδος του διεγέρτη είναι πολύ μεγάλη,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διεγ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→∞</m:t>
        </m:r>
      </m:oMath>
      <w:r w:rsidR="00380860">
        <w:rPr>
          <w:rFonts w:asciiTheme="minorHAnsi" w:hAnsiTheme="minorHAnsi" w:cstheme="minorHAnsi"/>
          <w:sz w:val="22"/>
          <w:szCs w:val="22"/>
        </w:rPr>
        <w:t>, η συχνότητ</w:t>
      </w:r>
      <w:r w:rsidR="00177B02">
        <w:rPr>
          <w:rFonts w:asciiTheme="minorHAnsi" w:hAnsiTheme="minorHAnsi" w:cstheme="minorHAnsi"/>
          <w:sz w:val="22"/>
          <w:szCs w:val="22"/>
        </w:rPr>
        <w:t>ά</w:t>
      </w:r>
      <w:r w:rsidR="00380860">
        <w:rPr>
          <w:rFonts w:asciiTheme="minorHAnsi" w:hAnsiTheme="minorHAnsi" w:cstheme="minorHAnsi"/>
          <w:sz w:val="22"/>
          <w:szCs w:val="22"/>
        </w:rPr>
        <w:t xml:space="preserve"> του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διεγ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→0</m:t>
        </m:r>
      </m:oMath>
      <w:r w:rsidR="00380860">
        <w:rPr>
          <w:rFonts w:asciiTheme="minorHAnsi" w:hAnsiTheme="minorHAnsi" w:cstheme="minorHAnsi"/>
          <w:bCs/>
          <w:sz w:val="22"/>
          <w:szCs w:val="22"/>
        </w:rPr>
        <w:t xml:space="preserve">. Μειώνοντας σταδιακά την περίοδο του </w:t>
      </w:r>
      <w:r w:rsidR="00A81D3C">
        <w:rPr>
          <w:rFonts w:asciiTheme="minorHAnsi" w:hAnsiTheme="minorHAnsi" w:cstheme="minorHAnsi"/>
          <w:bCs/>
          <w:sz w:val="22"/>
          <w:szCs w:val="22"/>
        </w:rPr>
        <w:t>διεγέρτη</w:t>
      </w:r>
      <w:r w:rsidR="00380860">
        <w:rPr>
          <w:rFonts w:asciiTheme="minorHAnsi" w:hAnsiTheme="minorHAnsi" w:cstheme="minorHAnsi"/>
          <w:bCs/>
          <w:sz w:val="22"/>
          <w:szCs w:val="22"/>
        </w:rPr>
        <w:t xml:space="preserve"> μέχρι να πάρει πάρα πολύ μικρές τιμές,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Τ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διεγ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→0</m:t>
        </m:r>
      </m:oMath>
      <w:r w:rsidR="00380860">
        <w:rPr>
          <w:rFonts w:asciiTheme="minorHAnsi" w:hAnsiTheme="minorHAnsi" w:cstheme="minorHAnsi"/>
          <w:sz w:val="22"/>
          <w:szCs w:val="22"/>
        </w:rPr>
        <w:t>, η συχνότητ</w:t>
      </w:r>
      <w:r w:rsidR="00A81D3C">
        <w:rPr>
          <w:rFonts w:asciiTheme="minorHAnsi" w:hAnsiTheme="minorHAnsi" w:cstheme="minorHAnsi"/>
          <w:sz w:val="22"/>
          <w:szCs w:val="22"/>
        </w:rPr>
        <w:t>ά</w:t>
      </w:r>
      <w:r w:rsidR="00380860">
        <w:rPr>
          <w:rFonts w:asciiTheme="minorHAnsi" w:hAnsiTheme="minorHAnsi" w:cstheme="minorHAnsi"/>
          <w:sz w:val="22"/>
          <w:szCs w:val="22"/>
        </w:rPr>
        <w:t xml:space="preserve"> του</w:t>
      </w:r>
      <w:r w:rsidR="00A81D3C">
        <w:rPr>
          <w:rFonts w:asciiTheme="minorHAnsi" w:hAnsiTheme="minorHAnsi" w:cstheme="minorHAnsi"/>
          <w:sz w:val="22"/>
          <w:szCs w:val="22"/>
        </w:rPr>
        <w:t xml:space="preserve"> αυξάνεται σταδιακά προς πολύ μεγάλες τιμές και τελικά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διεγ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→∞</m:t>
        </m:r>
      </m:oMath>
      <w:r w:rsidR="00A81D3C">
        <w:rPr>
          <w:rFonts w:asciiTheme="minorHAnsi" w:hAnsiTheme="minorHAnsi" w:cstheme="minorHAnsi"/>
          <w:sz w:val="22"/>
          <w:szCs w:val="22"/>
        </w:rPr>
        <w:t>.</w:t>
      </w:r>
      <w:r w:rsidR="00380860">
        <w:rPr>
          <w:rFonts w:ascii="Calibri" w:hAnsi="Calibri"/>
          <w:bCs/>
          <w:sz w:val="22"/>
          <w:szCs w:val="22"/>
        </w:rPr>
        <w:t xml:space="preserve"> </w:t>
      </w:r>
      <w:r w:rsidR="000F6115">
        <w:rPr>
          <w:rFonts w:ascii="Calibri" w:hAnsi="Calibri"/>
          <w:bCs/>
          <w:sz w:val="22"/>
          <w:szCs w:val="22"/>
        </w:rPr>
        <w:t xml:space="preserve"> </w:t>
      </w:r>
    </w:p>
    <w:p w14:paraId="69461A01" w14:textId="3A94AA21" w:rsidR="00B00508" w:rsidRDefault="00440654" w:rsidP="00BB4094">
      <w:p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Το σύστημα</w:t>
      </w:r>
      <w:r w:rsidR="00685F1D">
        <w:rPr>
          <w:rFonts w:ascii="Calibri" w:hAnsi="Calibri"/>
          <w:bCs/>
          <w:sz w:val="22"/>
          <w:szCs w:val="22"/>
        </w:rPr>
        <w:t xml:space="preserve"> έχει </w:t>
      </w:r>
      <w:proofErr w:type="spellStart"/>
      <w:r w:rsidR="00685F1D">
        <w:rPr>
          <w:rFonts w:ascii="Calibri" w:hAnsi="Calibri"/>
          <w:bCs/>
          <w:sz w:val="22"/>
          <w:szCs w:val="22"/>
        </w:rPr>
        <w:t>ιδιοσυχνότητα</w:t>
      </w:r>
      <w:proofErr w:type="spellEnd"/>
      <w:r w:rsidR="00685F1D">
        <w:rPr>
          <w:rFonts w:ascii="Calibri" w:hAnsi="Calibr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</m:oMath>
      <w:r w:rsidR="00685F1D">
        <w:rPr>
          <w:rFonts w:ascii="Calibri" w:hAnsi="Calibri"/>
          <w:bCs/>
          <w:sz w:val="22"/>
          <w:szCs w:val="22"/>
        </w:rPr>
        <w:t xml:space="preserve"> και </w:t>
      </w:r>
      <w:r>
        <w:rPr>
          <w:rFonts w:ascii="Calibri" w:hAnsi="Calibri"/>
          <w:bCs/>
          <w:sz w:val="22"/>
          <w:szCs w:val="22"/>
        </w:rPr>
        <w:t xml:space="preserve">εκτελεί εξαναγκασμένη ταλάντωση με τη συχνότητα </w:t>
      </w:r>
      <w:r w:rsidR="00685F1D">
        <w:rPr>
          <w:rFonts w:ascii="Calibri" w:hAnsi="Calibri"/>
          <w:bCs/>
          <w:sz w:val="22"/>
          <w:szCs w:val="22"/>
        </w:rPr>
        <w:t xml:space="preserve">του διεγέρτη. Καθώς η συχνότητα του διεγέρτη αυξάνεται, το πλάτος Α της ταλάντωσης αυξάνεται, παίρνει τη μέγιστη τιμή για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διεγ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</m:oMath>
      <w:r w:rsidR="00B00508">
        <w:rPr>
          <w:rFonts w:ascii="Calibri" w:hAnsi="Calibri"/>
          <w:bCs/>
          <w:sz w:val="22"/>
          <w:szCs w:val="22"/>
        </w:rPr>
        <w:t>, ενώ στη συνέχεια το πλάτος μειώνεται τείνοντας ασυμπτωτικά στο μηδέν.</w:t>
      </w:r>
      <w:r w:rsidR="00685F1D">
        <w:rPr>
          <w:rFonts w:ascii="Calibri" w:hAnsi="Calibri"/>
          <w:bCs/>
          <w:sz w:val="22"/>
          <w:szCs w:val="22"/>
        </w:rPr>
        <w:t xml:space="preserve">  </w:t>
      </w:r>
    </w:p>
    <w:p w14:paraId="2F10344B" w14:textId="78D6F370" w:rsidR="00440654" w:rsidRPr="00440654" w:rsidRDefault="00685F1D" w:rsidP="00BB4094">
      <w:p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Στο διπλανό διάγραμμα φαίνεται η μεταβολή </w:t>
      </w:r>
      <w:r w:rsidR="00B00508">
        <w:rPr>
          <w:rFonts w:ascii="Calibri" w:hAnsi="Calibri"/>
          <w:bCs/>
          <w:sz w:val="22"/>
          <w:szCs w:val="22"/>
        </w:rPr>
        <w:t>του πλάτους με τη συχνότητα του διεγέρτη.</w:t>
      </w:r>
      <w:r w:rsidR="00440654">
        <w:rPr>
          <w:rFonts w:ascii="Calibri" w:hAnsi="Calibri"/>
          <w:bCs/>
          <w:sz w:val="22"/>
          <w:szCs w:val="22"/>
        </w:rPr>
        <w:t xml:space="preserve"> </w:t>
      </w:r>
    </w:p>
    <w:p w14:paraId="51E3AB5E" w14:textId="77777777" w:rsidR="000A4AC5" w:rsidRDefault="000A4AC5" w:rsidP="00D67B50">
      <w:pPr>
        <w:spacing w:line="360" w:lineRule="auto"/>
        <w:ind w:firstLine="720"/>
        <w:jc w:val="right"/>
        <w:rPr>
          <w:rFonts w:asciiTheme="minorHAnsi" w:hAnsiTheme="minorHAnsi"/>
          <w:b/>
          <w:sz w:val="22"/>
          <w:szCs w:val="22"/>
        </w:rPr>
      </w:pPr>
    </w:p>
    <w:p w14:paraId="21F742A1" w14:textId="1D04880A" w:rsidR="00ED6F11" w:rsidRPr="00967C9F" w:rsidRDefault="00ED6F11" w:rsidP="00D67B50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967C9F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sectPr w:rsidR="00ED6F11" w:rsidRPr="00967C9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A4AC5"/>
    <w:rsid w:val="000F6115"/>
    <w:rsid w:val="00113744"/>
    <w:rsid w:val="001313E7"/>
    <w:rsid w:val="001338E8"/>
    <w:rsid w:val="00177B02"/>
    <w:rsid w:val="001E4BCF"/>
    <w:rsid w:val="001E61B4"/>
    <w:rsid w:val="001F57E9"/>
    <w:rsid w:val="0020360A"/>
    <w:rsid w:val="002722A7"/>
    <w:rsid w:val="002A7661"/>
    <w:rsid w:val="002C29BB"/>
    <w:rsid w:val="003050B1"/>
    <w:rsid w:val="003302AC"/>
    <w:rsid w:val="00345E7F"/>
    <w:rsid w:val="0035376E"/>
    <w:rsid w:val="00357F33"/>
    <w:rsid w:val="003625EF"/>
    <w:rsid w:val="00380860"/>
    <w:rsid w:val="003825A8"/>
    <w:rsid w:val="003C6629"/>
    <w:rsid w:val="00440654"/>
    <w:rsid w:val="0044672A"/>
    <w:rsid w:val="00462620"/>
    <w:rsid w:val="00467985"/>
    <w:rsid w:val="00471843"/>
    <w:rsid w:val="00480950"/>
    <w:rsid w:val="00485B3D"/>
    <w:rsid w:val="004C66E4"/>
    <w:rsid w:val="004D38CA"/>
    <w:rsid w:val="004D5BB5"/>
    <w:rsid w:val="004E69A6"/>
    <w:rsid w:val="004E710F"/>
    <w:rsid w:val="004F2418"/>
    <w:rsid w:val="005159FB"/>
    <w:rsid w:val="00584585"/>
    <w:rsid w:val="00592AB2"/>
    <w:rsid w:val="00597FE6"/>
    <w:rsid w:val="005D09A9"/>
    <w:rsid w:val="005F0028"/>
    <w:rsid w:val="006366AA"/>
    <w:rsid w:val="00656A11"/>
    <w:rsid w:val="00672CD4"/>
    <w:rsid w:val="00685F1D"/>
    <w:rsid w:val="0069457A"/>
    <w:rsid w:val="006B71AC"/>
    <w:rsid w:val="006E270C"/>
    <w:rsid w:val="006E73A6"/>
    <w:rsid w:val="00783560"/>
    <w:rsid w:val="007B7770"/>
    <w:rsid w:val="007C712F"/>
    <w:rsid w:val="007D0C6C"/>
    <w:rsid w:val="007D4845"/>
    <w:rsid w:val="008222B8"/>
    <w:rsid w:val="00875A27"/>
    <w:rsid w:val="00876522"/>
    <w:rsid w:val="008B5595"/>
    <w:rsid w:val="00954AEA"/>
    <w:rsid w:val="009572C4"/>
    <w:rsid w:val="00962F9D"/>
    <w:rsid w:val="00965178"/>
    <w:rsid w:val="00967C9F"/>
    <w:rsid w:val="009E560F"/>
    <w:rsid w:val="009F7829"/>
    <w:rsid w:val="00A81D3C"/>
    <w:rsid w:val="00AC046B"/>
    <w:rsid w:val="00AC0F38"/>
    <w:rsid w:val="00AC7DA6"/>
    <w:rsid w:val="00AD3300"/>
    <w:rsid w:val="00B00508"/>
    <w:rsid w:val="00B141B9"/>
    <w:rsid w:val="00B822A7"/>
    <w:rsid w:val="00B977DB"/>
    <w:rsid w:val="00BB4094"/>
    <w:rsid w:val="00BC49CB"/>
    <w:rsid w:val="00C00230"/>
    <w:rsid w:val="00C02619"/>
    <w:rsid w:val="00C14707"/>
    <w:rsid w:val="00C23317"/>
    <w:rsid w:val="00C67846"/>
    <w:rsid w:val="00CB5981"/>
    <w:rsid w:val="00CE290A"/>
    <w:rsid w:val="00CF028F"/>
    <w:rsid w:val="00D06A5E"/>
    <w:rsid w:val="00D15E64"/>
    <w:rsid w:val="00D51963"/>
    <w:rsid w:val="00D5615F"/>
    <w:rsid w:val="00D67B50"/>
    <w:rsid w:val="00D731EE"/>
    <w:rsid w:val="00D81180"/>
    <w:rsid w:val="00DB446A"/>
    <w:rsid w:val="00DB657B"/>
    <w:rsid w:val="00DC5BED"/>
    <w:rsid w:val="00E23769"/>
    <w:rsid w:val="00E4357B"/>
    <w:rsid w:val="00E84D64"/>
    <w:rsid w:val="00E96C57"/>
    <w:rsid w:val="00EA5CA1"/>
    <w:rsid w:val="00ED6F11"/>
    <w:rsid w:val="00F02471"/>
    <w:rsid w:val="00F11FD2"/>
    <w:rsid w:val="00F13D1B"/>
    <w:rsid w:val="00F2693F"/>
    <w:rsid w:val="00F665C2"/>
    <w:rsid w:val="00FA3659"/>
    <w:rsid w:val="00FD4DDB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customStyle="1" w:styleId="Default">
    <w:name w:val="Default"/>
    <w:rsid w:val="00C02619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ΙΩΑΝΝΗΣ ΠΑΠΑΔΑΚΗΣ</cp:lastModifiedBy>
  <cp:revision>9</cp:revision>
  <dcterms:created xsi:type="dcterms:W3CDTF">2022-07-25T06:32:00Z</dcterms:created>
  <dcterms:modified xsi:type="dcterms:W3CDTF">2022-07-31T21:55:00Z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