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  <w:tab/>
      </w:r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>
          <w:rFonts w:cs="Calibri"/>
          <w:color w:val="000000"/>
          <w:sz w:val="24"/>
          <w:szCs w:val="24"/>
        </w:rPr>
      </w:pPr>
      <w:r>
        <w:rPr>
          <w:rStyle w:val="Fontstyle01"/>
        </w:rPr>
        <w:t xml:space="preserve">α) Υπολογίζουμε τη διακρίνουσα του τριωνύμου   </w:t>
      </w: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x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3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2</m:t>
        </m:r>
      </m:oMath>
      <w:r>
        <w:rPr>
          <w:rFonts w:cs="Calibri"/>
          <w:color w:val="000000"/>
          <w:sz w:val="24"/>
          <w:szCs w:val="24"/>
        </w:rPr>
        <w:t xml:space="preserve"> .</w:t>
      </w:r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>
          <w:rStyle w:val="Fontstyle01"/>
          <w:lang w:val="en-US"/>
        </w:rPr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Δ</m:t>
        </m:r>
        <m:r>
          <w:rPr>
            <w:rFonts w:ascii="Cambria Math" w:hAnsi="Cambria Math"/>
          </w:rPr>
          <m:t xml:space="preserve">=</m:t>
        </m:r>
        <m:sSup>
          <m:e>
            <m:r>
              <w:rPr>
                <w:rFonts w:ascii="Cambria Math" w:hAnsi="Cambria Math"/>
              </w:rPr>
              <m:t xml:space="preserve">β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4</m:t>
        </m:r>
        <m:r>
          <w:rPr>
            <w:rFonts w:ascii="Cambria Math" w:hAnsi="Cambria Math"/>
          </w:rPr>
          <m:t xml:space="preserve">αγ</m:t>
        </m:r>
        <m:r>
          <w:rPr>
            <w:rFonts w:ascii="Cambria Math" w:hAnsi="Cambria Math"/>
          </w:rPr>
          <m:t xml:space="preserve">=</m:t>
        </m:r>
        <m:sSup>
          <m:e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3</m:t>
                </m:r>
              </m:e>
            </m:d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4</m:t>
        </m:r>
        <m:r>
          <w:rPr>
            <w:rFonts w:ascii="Cambria Math" w:hAnsi="Cambria Math"/>
          </w:rPr>
          <m:t xml:space="preserve">⋅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⋅</m:t>
        </m:r>
        <m:r>
          <w:rPr>
            <w:rFonts w:ascii="Cambria Math" w:hAnsi="Cambria Math"/>
          </w:rPr>
          <m:t xml:space="preserve">2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9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8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</m:oMath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>
          <w:rStyle w:val="Fontstyle01"/>
        </w:rPr>
      </w:pPr>
      <w:r>
        <w:rPr>
          <w:rStyle w:val="Fontstyle01"/>
        </w:rPr>
        <w:t xml:space="preserve">Οι ρίζες του τριωνύμου είναι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β</m:t>
            </m:r>
            <m:r>
              <w:rPr>
                <w:rFonts w:ascii="Cambria Math" w:hAnsi="Cambria Math"/>
              </w:rPr>
              <m:t xml:space="preserve">±</m:t>
            </m:r>
            <m:r>
              <w:rPr>
                <w:rFonts w:ascii="Cambria Math" w:hAnsi="Cambria Math"/>
              </w:rPr>
              <m:t xml:space="preserve">√</m:t>
            </m:r>
            <m:r>
              <w:rPr>
                <w:rFonts w:ascii="Cambria Math" w:hAnsi="Cambria Math"/>
              </w:rPr>
              <m:t xml:space="preserve">Δ</m:t>
            </m:r>
          </m:num>
          <m:den>
            <m:r>
              <w:rPr>
                <w:rFonts w:ascii="Cambria Math" w:hAnsi="Cambria Math"/>
              </w:rPr>
              <m:t xml:space="preserve">2</m:t>
            </m:r>
            <m:r>
              <w:rPr>
                <w:rFonts w:ascii="Cambria Math" w:hAnsi="Cambria Math"/>
              </w:rPr>
              <m:t xml:space="preserve">α</m:t>
            </m:r>
          </m:den>
        </m:f>
      </m:oMath>
      <w:r>
        <w:rPr>
          <w:rStyle w:val="Fontstyle01"/>
        </w:rPr>
        <w:t xml:space="preserve"> = </w:t>
      </w:r>
      <w:r>
        <w:rPr/>
      </w:r>
      <m:oMath xmlns:m="http://schemas.openxmlformats.org/officeDocument/2006/math">
        <m:f>
          <m:num>
            <m:r>
              <w:rPr>
                <w:rFonts w:ascii="Cambria Math" w:hAnsi="Cambria Math"/>
              </w:rPr>
              <m:t xml:space="preserve">−</m:t>
            </m:r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3</m:t>
                </m:r>
              </m:e>
            </m:d>
            <m:r>
              <w:rPr>
                <w:rFonts w:ascii="Cambria Math" w:hAnsi="Cambria Math"/>
              </w:rPr>
              <m:t xml:space="preserve">±</m:t>
            </m:r>
            <m:r>
              <w:rPr>
                <w:rFonts w:ascii="Cambria Math" w:hAnsi="Cambria Math"/>
              </w:rPr>
              <m:t xml:space="preserve">√</m:t>
            </m:r>
            <m:r>
              <w:rPr>
                <w:rFonts w:ascii="Cambria Math" w:hAnsi="Cambria Math"/>
              </w:rPr>
              <m:t xml:space="preserve">1</m:t>
            </m:r>
          </m:num>
          <m:den>
            <m:r>
              <w:rPr>
                <w:rFonts w:ascii="Cambria Math" w:hAnsi="Cambria Math"/>
              </w:rPr>
              <m:t xml:space="preserve">2</m:t>
            </m:r>
          </m:den>
        </m:f>
      </m:oMath>
      <w:r>
        <w:rPr>
          <w:rStyle w:val="Fontstyle01"/>
        </w:rPr>
        <w:t>= 2 ή 1.</w:t>
      </w:r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>
          <w:rStyle w:val="Fontstyle01"/>
        </w:rPr>
      </w:pPr>
      <w:r>
        <w:rPr>
          <w:rStyle w:val="Fontstyle01"/>
        </w:rPr>
        <w:t xml:space="preserve">Το τριώνυμο γράφεται ως γινόμενο παραγόντων, όταν Δ&gt;0, στη μορφή: </w:t>
      </w:r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>
          <w:rStyle w:val="Fontstyle01"/>
          <w:i/>
          <w:i/>
        </w:rPr>
      </w:pP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a</m:t>
        </m:r>
        <m:sSup>
          <m:e>
            <m:r>
              <w:rPr>
                <w:rFonts w:ascii="Cambria Math" w:hAnsi="Cambria Math"/>
              </w:rPr>
              <m:t xml:space="preserve">x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βx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γ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α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−</m:t>
            </m:r>
            <m:sSub>
              <m:e>
                <m:r>
                  <w:rPr>
                    <w:rFonts w:ascii="Cambria Math" w:hAnsi="Cambria Math"/>
                  </w:rPr>
                  <m:t xml:space="preserve">x</m:t>
                </m:r>
              </m:e>
              <m:sub>
                <m:r>
                  <w:rPr>
                    <w:rFonts w:ascii="Cambria Math" w:hAnsi="Cambria Math"/>
                  </w:rPr>
                  <m:t xml:space="preserve">1</m:t>
                </m:r>
              </m:sub>
            </m:sSub>
          </m:e>
        </m:d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−</m:t>
            </m:r>
            <m:sSub>
              <m:e>
                <m:r>
                  <w:rPr>
                    <w:rFonts w:ascii="Cambria Math" w:hAnsi="Cambria Math"/>
                  </w:rPr>
                  <m:t xml:space="preserve">x</m:t>
                </m:r>
              </m:e>
              <m:sub>
                <m:r>
                  <w:rPr>
                    <w:rFonts w:ascii="Cambria Math" w:hAnsi="Cambria Math"/>
                  </w:rPr>
                  <m:t xml:space="preserve">2</m:t>
                </m:r>
              </m:sub>
            </m:sSub>
          </m:e>
        </m:d>
      </m:oMath>
      <w:r>
        <w:rPr>
          <w:rStyle w:val="Fontstyle01"/>
          <w:i/>
        </w:rPr>
        <w:t xml:space="preserve">  </w:t>
      </w:r>
      <w:r>
        <w:rPr>
          <w:rStyle w:val="Fontstyle01"/>
          <w:i/>
        </w:rPr>
        <w:t xml:space="preserve">όπου  </w:t>
      </w:r>
      <w:r>
        <w:rPr/>
      </w:r>
      <m:oMath xmlns:m="http://schemas.openxmlformats.org/officeDocument/2006/math">
        <m:sSub>
          <m:e>
            <m:r>
              <w:rPr>
                <w:rFonts w:ascii="Cambria Math" w:hAnsi="Cambria Math"/>
              </w:rPr>
              <m:t xml:space="preserve">x</m:t>
            </m:r>
          </m:e>
          <m:sub>
            <m:r>
              <w:rPr>
                <w:rFonts w:ascii="Cambria Math" w:hAnsi="Cambria Math"/>
              </w:rPr>
              <m:t xml:space="preserve">1</m:t>
            </m:r>
          </m:sub>
        </m:sSub>
        <m:r>
          <w:rPr>
            <w:rFonts w:ascii="Cambria Math" w:hAnsi="Cambria Math"/>
          </w:rPr>
          <m:t xml:space="preserve">,</m:t>
        </m:r>
        <m:sSub>
          <m:e>
            <m:r>
              <w:rPr>
                <w:rFonts w:ascii="Cambria Math" w:hAnsi="Cambria Math"/>
              </w:rPr>
              <m:t xml:space="preserve">x</m:t>
            </m:r>
          </m:e>
          <m:sub>
            <m:r>
              <w:rPr>
                <w:rFonts w:ascii="Cambria Math" w:hAnsi="Cambria Math"/>
              </w:rPr>
              <m:t xml:space="preserve">2</m:t>
            </m:r>
          </m:sub>
        </m:sSub>
        <m:r>
          <w:rPr>
            <w:rFonts w:ascii="Cambria Math" w:hAnsi="Cambria Math"/>
          </w:rPr>
          <m:t xml:space="preserve">,</m:t>
        </m:r>
      </m:oMath>
      <w:r>
        <w:rPr/>
        <w:t xml:space="preserve">  </w:t>
      </w:r>
      <w:r>
        <w:rPr>
          <w:rStyle w:val="Fontstyle01"/>
          <w:i/>
        </w:rPr>
        <w:t xml:space="preserve">οι ρίζες του τριωνύμου, </w:t>
      </w:r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>
          <w:rFonts w:cs="Calibri"/>
          <w:color w:val="000000"/>
          <w:sz w:val="24"/>
          <w:szCs w:val="24"/>
        </w:rPr>
      </w:pPr>
      <w:r>
        <w:rPr>
          <w:rStyle w:val="Fontstyle01"/>
        </w:rPr>
        <w:t xml:space="preserve">Οπότε έχουμε  </w:t>
      </w:r>
      <w:r>
        <w:rPr/>
      </w:r>
      <m:oMath xmlns:m="http://schemas.openxmlformats.org/officeDocument/2006/math">
        <m:sSup>
          <m:e>
            <m:r>
              <w:rPr>
                <w:rFonts w:ascii="Cambria Math" w:hAnsi="Cambria Math"/>
              </w:rPr>
              <m:t xml:space="preserve">x</m:t>
            </m:r>
          </m:e>
          <m:sup>
            <m:r>
              <w:rPr>
                <w:rFonts w:ascii="Cambria Math" w:hAnsi="Cambria Math"/>
              </w:rPr>
              <m:t xml:space="preserve">2</m:t>
            </m:r>
          </m:sup>
        </m:sSup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3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+</m:t>
        </m:r>
        <m:r>
          <w:rPr>
            <w:rFonts w:ascii="Cambria Math" w:hAnsi="Cambria Math"/>
          </w:rPr>
          <m:t xml:space="preserve">2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⋅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2</m:t>
            </m:r>
          </m:e>
        </m:d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1</m:t>
            </m:r>
          </m:e>
        </m:d>
        <m:r>
          <w:rPr>
            <w:rFonts w:ascii="Cambria Math" w:hAnsi="Cambria Math"/>
          </w:rPr>
          <m:t xml:space="preserve">=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2</m:t>
            </m:r>
          </m:e>
        </m:d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1</m:t>
            </m:r>
          </m:e>
        </m:d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β) </w:t>
      </w:r>
      <w:r>
        <w:rPr>
          <w:rFonts w:cs="Calibri"/>
          <w:color w:val="000000"/>
          <w:sz w:val="24"/>
          <w:szCs w:val="24"/>
          <w:lang w:val="en-US"/>
        </w:rPr>
        <w:t>i</w:t>
      </w:r>
      <w:r>
        <w:rPr>
          <w:rFonts w:cs="Calibri"/>
          <w:color w:val="000000"/>
          <w:sz w:val="24"/>
          <w:szCs w:val="24"/>
        </w:rPr>
        <w:t xml:space="preserve">) Η συνάρτηση ορίζεται όταν ο παρονομαστής του κλάσματος δεν είναι μηδέν, οπότε για το πεδίο ορισμού της πρέπει να ισχύει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≠</m:t>
        </m:r>
        <m:r>
          <w:rPr>
            <w:rFonts w:ascii="Cambria Math" w:hAnsi="Cambria Math"/>
          </w:rPr>
          <m:t xml:space="preserve">0</m:t>
        </m:r>
        <m:r>
          <w:rPr>
            <w:rFonts w:ascii="Cambria Math" w:hAnsi="Cambria Math"/>
          </w:rPr>
          <m:t xml:space="preserve">⇔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≠</m:t>
        </m:r>
        <m:r>
          <w:rPr>
            <w:rFonts w:ascii="Cambria Math" w:hAnsi="Cambria Math"/>
          </w:rPr>
          <m:t xml:space="preserve">1.</m:t>
        </m:r>
      </m:oMath>
      <w:r>
        <w:rPr>
          <w:rFonts w:cs="Calibri"/>
          <w:color w:val="000000"/>
          <w:sz w:val="24"/>
          <w:szCs w:val="24"/>
        </w:rPr>
        <w:t xml:space="preserve"> </w:t>
      </w:r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Οπότε το πεδίο ορισμού της είναι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ℝ</m:t>
        </m:r>
        <m:r>
          <w:rPr>
            <w:rFonts w:ascii="Cambria Math" w:hAnsi="Cambria Math"/>
          </w:rPr>
          <m:t xml:space="preserve">−</m:t>
        </m:r>
        <m:d>
          <m:dPr>
            <m:begChr m:val="{"/>
            <m:endChr m:val="}"/>
          </m:dPr>
          <m:e>
            <m:r>
              <w:rPr>
                <w:rFonts w:ascii="Cambria Math" w:hAnsi="Cambria Math"/>
              </w:rPr>
              <m:t xml:space="preserve">1</m:t>
            </m:r>
          </m:e>
        </m:d>
        <m:r>
          <w:rPr>
            <w:rFonts w:ascii="Cambria Math" w:hAnsi="Cambria Math"/>
          </w:rPr>
          <m:t xml:space="preserve">=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∞</m:t>
            </m:r>
            <m:r>
              <w:rPr>
                <w:rFonts w:ascii="Cambria Math" w:hAnsi="Cambria Math"/>
              </w:rPr>
              <m:t xml:space="preserve">,1</m:t>
            </m:r>
          </m:e>
        </m:d>
        <m:r>
          <w:rPr>
            <w:rFonts w:ascii="Cambria Math" w:hAnsi="Cambria Math"/>
          </w:rPr>
          <m:t xml:space="preserve">∪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1</m:t>
            </m:r>
            <m:r>
              <w:rPr>
                <w:rFonts w:ascii="Cambria Math" w:hAnsi="Cambria Math"/>
              </w:rPr>
              <m:t xml:space="preserve">,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∞</m:t>
            </m:r>
          </m:e>
        </m:d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  <w:lang w:val="en-US"/>
        </w:rPr>
        <w:t>ii</w:t>
      </w:r>
      <w:r>
        <w:rPr>
          <w:rFonts w:cs="Calibri"/>
          <w:color w:val="000000"/>
          <w:sz w:val="24"/>
          <w:szCs w:val="24"/>
        </w:rPr>
        <w:t xml:space="preserve">) Ισχύει ότι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=</m:t>
        </m:r>
        <m:f>
          <m:num>
            <m:sSup>
              <m:e>
                <m:r>
                  <w:rPr>
                    <w:rFonts w:ascii="Cambria Math" w:hAnsi="Cambria Math"/>
                  </w:rPr>
                  <m:t xml:space="preserve">x</m:t>
                </m:r>
              </m:e>
              <m:sup>
                <m:r>
                  <w:rPr>
                    <w:rFonts w:ascii="Cambria Math" w:hAnsi="Cambria Math"/>
                  </w:rPr>
                  <m:t xml:space="preserve">2</m:t>
                </m:r>
              </m:sup>
            </m:sSup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3</m:t>
            </m:r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+</m:t>
            </m:r>
            <m:r>
              <w:rPr>
                <w:rFonts w:ascii="Cambria Math" w:hAnsi="Cambria Math"/>
              </w:rPr>
              <m:t xml:space="preserve">2</m:t>
            </m:r>
          </m:num>
          <m:den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1</m:t>
            </m:r>
          </m:den>
        </m:f>
        <m:r>
          <w:rPr>
            <w:rFonts w:ascii="Cambria Math" w:hAnsi="Cambria Math"/>
          </w:rPr>
          <m:t xml:space="preserve">=</m:t>
        </m:r>
        <m:r>
          <m:rPr>
            <m:lit/>
            <m:nor/>
          </m:rPr>
          <w:rPr>
            <w:rFonts w:ascii="Cambria Math" w:hAnsi="Cambria Math"/>
          </w:rPr>
          <m:t xml:space="preserve"/>
        </m:r>
      </m:oMath>
      <w:r>
        <w:rPr>
          <w:rFonts w:cs="Calibri"/>
          <w:color w:val="000000"/>
          <w:sz w:val="24"/>
          <w:szCs w:val="24"/>
        </w:rPr>
        <w:t xml:space="preserve"> </w:t>
      </w:r>
      <w:r>
        <w:rPr/>
      </w:r>
      <m:oMath xmlns:m="http://schemas.openxmlformats.org/officeDocument/2006/math">
        <m:f>
          <m:num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x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1</m:t>
                </m:r>
              </m:e>
            </m:d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x</m:t>
                </m:r>
                <m:r>
                  <w:rPr>
                    <w:rFonts w:ascii="Cambria Math" w:hAnsi="Cambria Math"/>
                  </w:rPr>
                  <m:t xml:space="preserve">−</m:t>
                </m:r>
                <m:r>
                  <w:rPr>
                    <w:rFonts w:ascii="Cambria Math" w:hAnsi="Cambria Math"/>
                  </w:rPr>
                  <m:t xml:space="preserve">2</m:t>
                </m:r>
              </m:e>
            </m:d>
          </m:num>
          <m:den>
            <m:r>
              <w:rPr>
                <w:rFonts w:ascii="Cambria Math" w:hAnsi="Cambria Math"/>
              </w:rPr>
              <m:t xml:space="preserve">x</m:t>
            </m:r>
            <m:r>
              <w:rPr>
                <w:rFonts w:ascii="Cambria Math" w:hAnsi="Cambria Math"/>
              </w:rPr>
              <m:t xml:space="preserve">−</m:t>
            </m:r>
            <m:r>
              <w:rPr>
                <w:rFonts w:ascii="Cambria Math" w:hAnsi="Cambria Math"/>
              </w:rPr>
              <m:t xml:space="preserve">1</m:t>
            </m:r>
          </m:den>
        </m:f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2</m:t>
        </m:r>
        <m:r>
          <w:rPr>
            <w:rFonts w:ascii="Cambria Math" w:hAnsi="Cambria Math"/>
          </w:rPr>
          <m:t xml:space="preserve">,</m:t>
        </m:r>
        <m:r>
          <w:rPr>
            <w:rFonts w:ascii="Cambria Math" w:hAnsi="Cambria Math"/>
          </w:rPr>
          <m:t xml:space="preserve">με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≠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  <w:lang w:val="en-US"/>
        </w:rPr>
        <w:t>iii</w:t>
      </w:r>
      <w:r>
        <w:rPr>
          <w:rFonts w:cs="Calibri"/>
          <w:color w:val="000000"/>
          <w:sz w:val="24"/>
          <w:szCs w:val="24"/>
        </w:rPr>
        <w:t xml:space="preserve">) Αναζητούμε τους πραγματικούς αριθμούς </w:t>
      </w:r>
      <w:r>
        <w:rPr>
          <w:rFonts w:cs="Calibri"/>
          <w:color w:val="000000"/>
          <w:sz w:val="24"/>
          <w:szCs w:val="24"/>
          <w:lang w:val="en-US"/>
        </w:rPr>
        <w:t>x</w:t>
      </w:r>
      <w:r>
        <w:rPr>
          <w:rFonts w:cs="Calibri"/>
          <w:color w:val="000000"/>
          <w:sz w:val="24"/>
          <w:szCs w:val="24"/>
        </w:rPr>
        <w:t xml:space="preserve"> για τους οποίους μπορεί να ισχύει: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⇔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2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⇔</m:t>
        </m:r>
        <m:r>
          <w:rPr>
            <w:rFonts w:ascii="Cambria Math" w:hAnsi="Cambria Math"/>
          </w:rPr>
          <m:t xml:space="preserve">x</m:t>
        </m:r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1</m:t>
        </m:r>
        <m:r>
          <w:rPr>
            <w:rFonts w:ascii="Cambria Math" w:hAnsi="Cambria Math"/>
          </w:rPr>
          <m:t xml:space="preserve">.</m:t>
        </m:r>
      </m:oMath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Όμως η συνάρτηση δεν ορίζεται για </w:t>
      </w:r>
      <w:r>
        <w:rPr>
          <w:rFonts w:cs="Calibri"/>
          <w:color w:val="000000"/>
          <w:sz w:val="24"/>
          <w:szCs w:val="24"/>
          <w:lang w:val="en-US"/>
        </w:rPr>
        <w:t>x</w:t>
      </w:r>
      <w:r>
        <w:rPr>
          <w:rFonts w:cs="Calibri"/>
          <w:color w:val="000000"/>
          <w:sz w:val="24"/>
          <w:szCs w:val="24"/>
        </w:rPr>
        <w:t>=1.  H τιμή αυτή απορρίπτεται.</w:t>
      </w:r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>
          <w:rFonts w:cs="Calibri"/>
          <w:i/>
          <w:i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Δηλαδή, δεν υπάρχει πραγματικός αριθμός στο πεδίο ορισμού της συνάρτησης για την οποία να ισχύει 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f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x</m:t>
            </m:r>
          </m:e>
        </m:d>
        <m:r>
          <w:rPr>
            <w:rFonts w:ascii="Cambria Math" w:hAnsi="Cambria Math"/>
          </w:rPr>
          <m:t xml:space="preserve">=</m:t>
        </m:r>
        <m:r>
          <w:rPr>
            <w:rFonts w:ascii="Cambria Math" w:hAnsi="Cambria Math"/>
          </w:rPr>
          <m:t xml:space="preserve">−</m:t>
        </m:r>
        <m:r>
          <w:rPr>
            <w:rFonts w:ascii="Cambria Math" w:hAnsi="Cambria Math"/>
          </w:rPr>
          <m:t xml:space="preserve">1</m:t>
        </m:r>
      </m:oMath>
      <w:r>
        <w:rPr>
          <w:rFonts w:cs="Calibri"/>
          <w:color w:val="000000"/>
          <w:sz w:val="24"/>
          <w:szCs w:val="24"/>
        </w:rPr>
        <w:t>.</w:t>
      </w:r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>
          <w:rFonts w:cs="Calibri"/>
          <w:color w:val="000000"/>
          <w:sz w:val="24"/>
          <w:szCs w:val="24"/>
        </w:rPr>
      </w:pPr>
      <w:r>
        <w:rPr>
          <w:rFonts w:cs="Calibri"/>
          <w:color w:val="000000"/>
          <w:sz w:val="24"/>
          <w:szCs w:val="24"/>
        </w:rPr>
        <w:t xml:space="preserve"> </w:t>
      </w:r>
    </w:p>
    <w:p>
      <w:pPr>
        <w:pStyle w:val="Normal"/>
        <w:tabs>
          <w:tab w:val="clear" w:pos="720"/>
          <w:tab w:val="left" w:pos="6946" w:leader="none"/>
        </w:tabs>
        <w:spacing w:lineRule="auto" w:line="360"/>
        <w:jc w:val="both"/>
        <w:rPr>
          <w:rStyle w:val="Fontstyle01"/>
        </w:rPr>
      </w:pPr>
      <w:r>
        <w:rPr/>
      </w:r>
    </w:p>
    <w:sectPr>
      <w:type w:val="nextPage"/>
      <w:pgSz w:w="11906" w:h="16838"/>
      <w:pgMar w:left="1418" w:right="1418" w:header="0" w:top="1418" w:footer="0" w:bottom="1418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Noto Sans Arabic UI"/>
        <w:szCs w:val="22"/>
        <w:lang w:val="el-G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30f34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Noto Sans Arabic UI"/>
      <w:color w:val="auto"/>
      <w:kern w:val="0"/>
      <w:sz w:val="22"/>
      <w:szCs w:val="22"/>
      <w:lang w:val="el-G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laceholderText">
    <w:name w:val="Placeholder Text"/>
    <w:basedOn w:val="DefaultParagraphFont"/>
    <w:qFormat/>
    <w:rsid w:val="00b30f34"/>
    <w:rPr>
      <w:color w:val="808080"/>
    </w:rPr>
  </w:style>
  <w:style w:type="character" w:styleId="Char" w:customStyle="1">
    <w:name w:val="Κείμενο πλαισίου Char"/>
    <w:basedOn w:val="DefaultParagraphFont"/>
    <w:qFormat/>
    <w:rsid w:val="00b30f34"/>
    <w:rPr>
      <w:rFonts w:ascii="Tahoma" w:hAnsi="Tahoma" w:cs="Tahoma"/>
      <w:sz w:val="16"/>
      <w:szCs w:val="16"/>
    </w:rPr>
  </w:style>
  <w:style w:type="character" w:styleId="Annotationreference">
    <w:name w:val="annotation reference"/>
    <w:basedOn w:val="DefaultParagraphFont"/>
    <w:qFormat/>
    <w:rsid w:val="00b30f34"/>
    <w:rPr>
      <w:sz w:val="16"/>
      <w:szCs w:val="16"/>
    </w:rPr>
  </w:style>
  <w:style w:type="character" w:styleId="Char1" w:customStyle="1">
    <w:name w:val="Κείμενο σχολίου Char"/>
    <w:basedOn w:val="DefaultParagraphFont"/>
    <w:qFormat/>
    <w:rsid w:val="00b30f34"/>
    <w:rPr>
      <w:sz w:val="20"/>
      <w:szCs w:val="20"/>
    </w:rPr>
  </w:style>
  <w:style w:type="character" w:styleId="Char2" w:customStyle="1">
    <w:name w:val="Θέμα σχολίου Char"/>
    <w:basedOn w:val="Char1"/>
    <w:qFormat/>
    <w:rsid w:val="00b30f34"/>
    <w:rPr>
      <w:b/>
      <w:bCs/>
      <w:sz w:val="20"/>
      <w:szCs w:val="20"/>
    </w:rPr>
  </w:style>
  <w:style w:type="character" w:styleId="Char3" w:customStyle="1">
    <w:name w:val="Κεφαλίδα Char"/>
    <w:basedOn w:val="DefaultParagraphFont"/>
    <w:qFormat/>
    <w:rsid w:val="00b30f34"/>
    <w:rPr/>
  </w:style>
  <w:style w:type="character" w:styleId="Char4" w:customStyle="1">
    <w:name w:val="Υποσέλιδο Char"/>
    <w:basedOn w:val="DefaultParagraphFont"/>
    <w:qFormat/>
    <w:rsid w:val="00b30f34"/>
    <w:rPr/>
  </w:style>
  <w:style w:type="character" w:styleId="Fontstyle01" w:customStyle="1">
    <w:name w:val="fontstyle01"/>
    <w:basedOn w:val="DefaultParagraphFont"/>
    <w:qFormat/>
    <w:rsid w:val="00b30f34"/>
    <w:rPr>
      <w:rFonts w:ascii="Calibri" w:hAnsi="Calibri" w:cs="Calibri"/>
      <w:b w:val="false"/>
      <w:bCs w:val="false"/>
      <w:i w:val="false"/>
      <w:iCs w:val="false"/>
      <w:color w:val="000000"/>
      <w:sz w:val="24"/>
      <w:szCs w:val="24"/>
    </w:rPr>
  </w:style>
  <w:style w:type="paragraph" w:styleId="Style14" w:customStyle="1">
    <w:name w:val="Επικεφαλίδα"/>
    <w:basedOn w:val="Normal"/>
    <w:next w:val="Style15"/>
    <w:qFormat/>
    <w:rsid w:val="00b30f34"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rsid w:val="00b30f34"/>
    <w:pPr>
      <w:spacing w:lineRule="auto" w:line="276" w:before="0" w:after="140"/>
    </w:pPr>
    <w:rPr/>
  </w:style>
  <w:style w:type="paragraph" w:styleId="Style16">
    <w:name w:val="List"/>
    <w:basedOn w:val="Style15"/>
    <w:rsid w:val="00b30f34"/>
    <w:pPr/>
    <w:rPr>
      <w:rFonts w:cs="Lohit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 w:customStyle="1">
    <w:name w:val="Ευρετήριο"/>
    <w:basedOn w:val="Normal"/>
    <w:qFormat/>
    <w:rsid w:val="00b30f34"/>
    <w:pPr>
      <w:suppressLineNumbers/>
    </w:pPr>
    <w:rPr>
      <w:rFonts w:cs="Lohit Devanagari"/>
    </w:rPr>
  </w:style>
  <w:style w:type="paragraph" w:styleId="1" w:customStyle="1">
    <w:name w:val="Λεζάντα1"/>
    <w:basedOn w:val="Normal"/>
    <w:qFormat/>
    <w:rsid w:val="00b30f34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BalloonText">
    <w:name w:val="Balloon Text"/>
    <w:basedOn w:val="Normal"/>
    <w:qFormat/>
    <w:rsid w:val="00b30f34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qFormat/>
    <w:rsid w:val="00b30f34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qFormat/>
    <w:rsid w:val="00b30f34"/>
    <w:pPr/>
    <w:rPr>
      <w:b/>
      <w:bCs/>
    </w:rPr>
  </w:style>
  <w:style w:type="paragraph" w:styleId="ListParagraph">
    <w:name w:val="List Paragraph"/>
    <w:basedOn w:val="Normal"/>
    <w:qFormat/>
    <w:rsid w:val="00b30f34"/>
    <w:pPr>
      <w:spacing w:before="0" w:after="0"/>
      <w:ind w:left="720" w:hanging="0"/>
      <w:contextualSpacing/>
    </w:pPr>
    <w:rPr/>
  </w:style>
  <w:style w:type="paragraph" w:styleId="Style19" w:customStyle="1">
    <w:name w:val="Κεφαλίδα και υποσέλιδο"/>
    <w:basedOn w:val="Normal"/>
    <w:qFormat/>
    <w:rsid w:val="00b30f34"/>
    <w:pPr/>
    <w:rPr/>
  </w:style>
  <w:style w:type="paragraph" w:styleId="11" w:customStyle="1">
    <w:name w:val="Κεφαλίδα1"/>
    <w:basedOn w:val="Normal"/>
    <w:qFormat/>
    <w:rsid w:val="00b30f34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2" w:customStyle="1">
    <w:name w:val="Υποσέλιδο1"/>
    <w:basedOn w:val="Normal"/>
    <w:qFormat/>
    <w:rsid w:val="00b30f34"/>
    <w:pPr>
      <w:tabs>
        <w:tab w:val="clear" w:pos="720"/>
        <w:tab w:val="center" w:pos="4153" w:leader="none"/>
        <w:tab w:val="right" w:pos="8306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LibreOffice/6.4.7.2$Linux_X86_64 LibreOffice_project/40$Build-2</Application>
  <Pages>1</Pages>
  <Words>105</Words>
  <Characters>513</Characters>
  <CharactersWithSpaces>634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2021-09-29T11:52:00Z</dcterms:created>
  <dc:creator>poly sot</dc:creator>
  <dc:description/>
  <dc:language>el-GR</dc:language>
  <cp:lastModifiedBy>Sotiris Chasapis</cp:lastModifiedBy>
  <dcterms:modified xsi:type="dcterms:W3CDTF">2022-04-29T10:41:48Z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0x010100E34E083BE82D4C4B9027F460895BBAB8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