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66605D" w14:textId="6CB6C7ED" w:rsidR="000831DD" w:rsidRDefault="000831DD" w:rsidP="00706C5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3B20CA35" w14:textId="5DEDF623" w:rsidR="009F38AC" w:rsidRDefault="009F38AC" w:rsidP="009F38AC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eastAsiaTheme="minorEastAsia"/>
          <w:noProof/>
          <w:sz w:val="24"/>
          <w:szCs w:val="24"/>
          <w:lang w:eastAsia="el-GR"/>
        </w:rPr>
        <w:drawing>
          <wp:inline distT="0" distB="0" distL="0" distR="0" wp14:anchorId="0D0896DA" wp14:editId="4A1A2897">
            <wp:extent cx="1684800" cy="198720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84800" cy="198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97018" w14:textId="557897D7" w:rsidR="00665400" w:rsidRPr="00543038" w:rsidRDefault="0077341B" w:rsidP="009F38AC">
      <w:pPr>
        <w:spacing w:after="0" w:line="360" w:lineRule="auto"/>
        <w:contextualSpacing/>
        <w:rPr>
          <w:rFonts w:eastAsiaTheme="minorEastAsia" w:cstheme="minorHAnsi"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9F38AC">
        <w:rPr>
          <w:rFonts w:cs="Arial,Italic"/>
          <w:iCs/>
          <w:sz w:val="24"/>
          <w:szCs w:val="24"/>
          <w:lang w:eastAsia="el-GR"/>
        </w:rPr>
        <w:t>Το σημείο Δ είναι μέσο της πλευράς ΑΓ και το ΔΕ είναι παράλληλο στην ΒΓ, οπότε το Ε θα είναι το μέσο της πλευράς ΑΒ. Επομένως, τα τμήματα ΓΔ και ΒΕ θα είναι ίσα ως μισά των ίσων πλευρών ΑΓ και ΑΒ αντίστοιχα του ισοσκελούς τριγώνου ΑΒΓ.</w:t>
      </w:r>
    </w:p>
    <w:p w14:paraId="5B823155" w14:textId="3A1F8B3B" w:rsidR="00E3483C" w:rsidRDefault="0077341B" w:rsidP="00D6103A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447A28">
        <w:rPr>
          <w:rFonts w:eastAsiaTheme="minorEastAsia"/>
          <w:sz w:val="24"/>
          <w:szCs w:val="24"/>
        </w:rPr>
        <w:t xml:space="preserve">Στο τετράπλευρο ΓΒΕΔ είναι ΔΕ//ΓΒ και οι πλευρές του ΓΔ και ΒΕ τέμνονται στο Α. Οπότε, το ΓΒΕΔ είναι </w:t>
      </w:r>
      <w:r w:rsidR="000368FD">
        <w:rPr>
          <w:rFonts w:eastAsiaTheme="minorEastAsia"/>
          <w:sz w:val="24"/>
          <w:szCs w:val="24"/>
        </w:rPr>
        <w:t>τραπέζιο</w:t>
      </w:r>
      <w:r w:rsidR="00447A28">
        <w:rPr>
          <w:rFonts w:eastAsiaTheme="minorEastAsia"/>
          <w:sz w:val="24"/>
          <w:szCs w:val="24"/>
        </w:rPr>
        <w:t xml:space="preserve">. Επίσης, </w:t>
      </w:r>
      <m:oMath>
        <m:r>
          <m:rPr>
            <m:nor/>
          </m:rPr>
          <w:rPr>
            <w:rFonts w:cstheme="minorHAnsi"/>
            <w:sz w:val="24"/>
            <w:szCs w:val="24"/>
            <w:lang w:eastAsia="el-GR"/>
          </w:rPr>
          <m:t>ΓΔ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ΒΕ</m:t>
        </m:r>
      </m:oMath>
      <w:r w:rsidR="00447A28">
        <w:rPr>
          <w:rFonts w:eastAsiaTheme="minorEastAsia"/>
          <w:sz w:val="24"/>
          <w:szCs w:val="24"/>
          <w:lang w:eastAsia="el-GR"/>
        </w:rPr>
        <w:t>. Συνεπώς, το τετράπλευρο ΓΒΕΔ είναι ισοσκελές τραπέζιο.</w:t>
      </w:r>
    </w:p>
    <w:p w14:paraId="7DE4C77D" w14:textId="77777777" w:rsidR="00CF14A6" w:rsidRDefault="00447A28" w:rsidP="00447A28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</w:t>
      </w:r>
    </w:p>
    <w:p w14:paraId="658AF4AD" w14:textId="14EC58F0" w:rsidR="00CF14A6" w:rsidRDefault="00CF14A6" w:rsidP="00CF14A6">
      <w:pPr>
        <w:spacing w:before="120" w:after="0" w:line="360" w:lineRule="auto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eastAsia="el-GR"/>
        </w:rPr>
        <w:drawing>
          <wp:inline distT="0" distB="0" distL="0" distR="0" wp14:anchorId="780AF7BC" wp14:editId="4A1CB35F">
            <wp:extent cx="1562400" cy="1951200"/>
            <wp:effectExtent l="0" t="0" r="0" b="0"/>
            <wp:docPr id="2" name="Εικόνα 2" descr="C:\Users\Alexia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400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4ED72" w14:textId="4CC6111A" w:rsidR="00CF14A6" w:rsidRDefault="00CF14A6" w:rsidP="00447A28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Οι γωνίες της βάσης ΒΓ του ισοσκελούς τριγώνου ΑΒΓ είναι ίσες, δηλαδή </w:t>
      </w:r>
      <m:oMath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Β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Γ</m:t>
            </m:r>
          </m:e>
        </m:acc>
      </m:oMath>
      <w:r>
        <w:rPr>
          <w:rFonts w:eastAsiaTheme="minorEastAsia"/>
          <w:sz w:val="24"/>
          <w:szCs w:val="24"/>
        </w:rPr>
        <w:t xml:space="preserve">. Γνωρίζουμε για το άθροισμα των γωνιών του τριγώνου ΑΒΓ ότι </w:t>
      </w:r>
      <m:oMath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Α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</w:rPr>
          <m:t>+</m:t>
        </m:r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Β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</w:rPr>
          <m:t>+</m:t>
        </m:r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Γ</m:t>
            </m:r>
          </m:e>
        </m:acc>
      </m:oMath>
      <w:r>
        <w:rPr>
          <w:rFonts w:eastAsiaTheme="minorEastAsia"/>
          <w:sz w:val="24"/>
          <w:szCs w:val="24"/>
        </w:rPr>
        <w:t xml:space="preserve"> =180</w:t>
      </w:r>
      <w:r w:rsidRPr="00CF14A6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 ή 40</w:t>
      </w:r>
      <w:r w:rsidRPr="00CF14A6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+ </w:t>
      </w:r>
      <m:oMath>
        <m:r>
          <w:rPr>
            <w:rFonts w:ascii="Cambria Math" w:eastAsiaTheme="minorEastAsia" w:hAnsi="Cambria Math"/>
            <w:sz w:val="24"/>
            <w:szCs w:val="24"/>
          </w:rPr>
          <m:t>2∙</m:t>
        </m:r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=180</w:t>
      </w:r>
      <w:r w:rsidRPr="00CF14A6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 ή </w:t>
      </w:r>
      <m:oMath>
        <m:r>
          <w:rPr>
            <w:rFonts w:ascii="Cambria Math" w:eastAsiaTheme="minorEastAsia" w:hAnsi="Cambria Math"/>
            <w:sz w:val="24"/>
            <w:szCs w:val="24"/>
          </w:rPr>
          <m:t>2∙</m:t>
        </m:r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 xml:space="preserve"> = 140</w:t>
      </w:r>
      <w:r w:rsidRPr="00CF14A6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, άρα </w:t>
      </w:r>
      <m:oMath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Β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Γ</m:t>
            </m:r>
          </m:e>
        </m:acc>
      </m:oMath>
      <w:r>
        <w:rPr>
          <w:rFonts w:eastAsiaTheme="minorEastAsia"/>
          <w:sz w:val="24"/>
          <w:szCs w:val="24"/>
        </w:rPr>
        <w:t xml:space="preserve"> = 70</w:t>
      </w:r>
      <w:r w:rsidRPr="00CF14A6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. </w:t>
      </w:r>
    </w:p>
    <w:p w14:paraId="670F1C37" w14:textId="676E21EE" w:rsidR="00CF14A6" w:rsidRDefault="00CF14A6" w:rsidP="00CF14A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Οι γωνίες </w:t>
      </w:r>
      <m:oMath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Γ</m:t>
            </m:r>
          </m:e>
        </m:acc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Γ</m:t>
        </m:r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Ε</m:t>
        </m:r>
      </m:oMath>
      <w:r>
        <w:rPr>
          <w:rFonts w:eastAsiaTheme="minorEastAsia"/>
          <w:sz w:val="24"/>
          <w:szCs w:val="24"/>
        </w:rPr>
        <w:t xml:space="preserve"> είναι εντός εναλλάξ των παραλλήλων ΓΒ και ΔΕ όταν τέμνονται από ΓΔ, άρα </w:t>
      </w:r>
      <m:oMath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Γ</m:t>
            </m:r>
          </m:e>
        </m:acc>
      </m:oMath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+</w:t>
      </w:r>
      <w:r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Γ</m:t>
        </m:r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Ε</m:t>
        </m:r>
      </m:oMath>
      <w:r w:rsidR="002D362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= 180</w:t>
      </w:r>
      <w:r w:rsidRPr="00CF14A6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και αφού </w:t>
      </w:r>
      <m:oMath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Γ</m:t>
            </m:r>
          </m:e>
        </m:acc>
      </m:oMath>
      <w:r>
        <w:rPr>
          <w:rFonts w:eastAsiaTheme="minorEastAsia"/>
          <w:sz w:val="24"/>
          <w:szCs w:val="24"/>
        </w:rPr>
        <w:t xml:space="preserve"> = 70</w:t>
      </w:r>
      <w:r w:rsidRPr="00CF14A6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, έχουμε ότι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Γ</m:t>
        </m:r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Ε</m:t>
        </m:r>
      </m:oMath>
      <w:r w:rsidR="002D362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= 1</w:t>
      </w:r>
      <w:r>
        <w:rPr>
          <w:rFonts w:eastAsiaTheme="minorEastAsia"/>
          <w:sz w:val="24"/>
          <w:szCs w:val="24"/>
        </w:rPr>
        <w:t>1</w:t>
      </w:r>
      <w:r>
        <w:rPr>
          <w:rFonts w:eastAsiaTheme="minorEastAsia"/>
          <w:sz w:val="24"/>
          <w:szCs w:val="24"/>
        </w:rPr>
        <w:t>0</w:t>
      </w:r>
      <w:r w:rsidRPr="00CF14A6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. </w:t>
      </w:r>
    </w:p>
    <w:p w14:paraId="2ED87B57" w14:textId="54C72A21" w:rsidR="00543038" w:rsidRDefault="00CF14A6" w:rsidP="00CF14A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Ομοίως </w:t>
      </w:r>
      <m:oMath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 xml:space="preserve"> +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Β</m:t>
        </m:r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Ε</m:t>
            </m:r>
          </m:e>
        </m:acc>
      </m:oMath>
      <w:r>
        <w:rPr>
          <w:rFonts w:eastAsiaTheme="minorEastAsia"/>
          <w:sz w:val="24"/>
          <w:szCs w:val="24"/>
        </w:rPr>
        <w:t>Δ</w:t>
      </w:r>
      <w:r>
        <w:rPr>
          <w:rFonts w:eastAsiaTheme="minorEastAsia"/>
          <w:sz w:val="24"/>
          <w:szCs w:val="24"/>
        </w:rPr>
        <w:t xml:space="preserve"> = 180</w:t>
      </w:r>
      <w:r w:rsidRPr="00CF14A6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ως εντός και επί τα αυτά των ίδιων παραλλήλων όταν τέμνονται από ΒΕ. Άρα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Β</m:t>
        </m:r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Ε</m:t>
            </m:r>
          </m:e>
        </m:acc>
      </m:oMath>
      <w:r>
        <w:rPr>
          <w:rFonts w:eastAsiaTheme="minorEastAsia"/>
          <w:sz w:val="24"/>
          <w:szCs w:val="24"/>
        </w:rPr>
        <w:t>Δ = 1</w:t>
      </w:r>
      <w:r>
        <w:rPr>
          <w:rFonts w:eastAsiaTheme="minorEastAsia"/>
          <w:sz w:val="24"/>
          <w:szCs w:val="24"/>
        </w:rPr>
        <w:t>1</w:t>
      </w:r>
      <w:r>
        <w:rPr>
          <w:rFonts w:eastAsiaTheme="minorEastAsia"/>
          <w:sz w:val="24"/>
          <w:szCs w:val="24"/>
        </w:rPr>
        <w:t>0</w:t>
      </w:r>
      <w:r w:rsidRPr="00CF14A6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. </w:t>
      </w:r>
      <w:bookmarkStart w:id="0" w:name="_GoBack"/>
      <w:bookmarkEnd w:id="0"/>
    </w:p>
    <w:p w14:paraId="77A82068" w14:textId="54B1BB49" w:rsidR="00CF14A6" w:rsidRPr="00CF14A6" w:rsidRDefault="00CF14A6" w:rsidP="00CF14A6">
      <w:pPr>
        <w:spacing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eastAsiaTheme="minorEastAsia"/>
          <w:sz w:val="24"/>
          <w:szCs w:val="24"/>
        </w:rPr>
        <w:t xml:space="preserve">Επομένως οι γωνίες του τραπεζίου ΓΒΕΔ είναι </w:t>
      </w:r>
      <m:oMath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Γ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 xml:space="preserve"> = 70</w:t>
      </w:r>
      <w:r w:rsidRPr="00CF14A6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  <w:vertAlign w:val="superscript"/>
        </w:rPr>
        <w:t xml:space="preserve"> </w:t>
      </w:r>
      <w:r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Γ</m:t>
        </m:r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Ε</m:t>
        </m:r>
      </m:oMath>
      <w:r w:rsidR="002D362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Β</m:t>
        </m:r>
        <m:acc>
          <m:ac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Ε</m:t>
            </m:r>
          </m:e>
        </m:acc>
      </m:oMath>
      <w:r>
        <w:rPr>
          <w:rFonts w:eastAsiaTheme="minorEastAsia"/>
          <w:sz w:val="24"/>
          <w:szCs w:val="24"/>
        </w:rPr>
        <w:t>Δ = 1</w:t>
      </w:r>
      <w:r>
        <w:rPr>
          <w:rFonts w:eastAsiaTheme="minorEastAsia"/>
          <w:sz w:val="24"/>
          <w:szCs w:val="24"/>
        </w:rPr>
        <w:t>1</w:t>
      </w:r>
      <w:r>
        <w:rPr>
          <w:rFonts w:eastAsiaTheme="minorEastAsia"/>
          <w:sz w:val="24"/>
          <w:szCs w:val="24"/>
        </w:rPr>
        <w:t>0</w:t>
      </w:r>
      <w:r w:rsidRPr="00CF14A6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>.</w:t>
      </w:r>
    </w:p>
    <w:sectPr w:rsidR="00CF14A6" w:rsidRPr="00CF14A6" w:rsidSect="000F60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75055" w14:textId="77777777" w:rsidR="00CB1CDF" w:rsidRDefault="00CB1CDF" w:rsidP="00B02AD3">
      <w:pPr>
        <w:spacing w:after="0" w:line="240" w:lineRule="auto"/>
      </w:pPr>
      <w:r>
        <w:separator/>
      </w:r>
    </w:p>
  </w:endnote>
  <w:endnote w:type="continuationSeparator" w:id="0">
    <w:p w14:paraId="1383FB3E" w14:textId="77777777" w:rsidR="00CB1CDF" w:rsidRDefault="00CB1CDF" w:rsidP="00B02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CDA2E" w14:textId="77777777" w:rsidR="00B02AD3" w:rsidRDefault="00B02AD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F5CF3" w14:textId="77777777" w:rsidR="00B02AD3" w:rsidRDefault="00B02AD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20574" w14:textId="77777777" w:rsidR="00B02AD3" w:rsidRDefault="00B02AD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40AB7" w14:textId="77777777" w:rsidR="00CB1CDF" w:rsidRDefault="00CB1CDF" w:rsidP="00B02AD3">
      <w:pPr>
        <w:spacing w:after="0" w:line="240" w:lineRule="auto"/>
      </w:pPr>
      <w:r>
        <w:separator/>
      </w:r>
    </w:p>
  </w:footnote>
  <w:footnote w:type="continuationSeparator" w:id="0">
    <w:p w14:paraId="11F76691" w14:textId="77777777" w:rsidR="00CB1CDF" w:rsidRDefault="00CB1CDF" w:rsidP="00B02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A9CAD" w14:textId="77777777" w:rsidR="00B02AD3" w:rsidRDefault="00B02AD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683B3" w14:textId="77777777" w:rsidR="00B02AD3" w:rsidRDefault="00B02AD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F7FAE" w14:textId="77777777" w:rsidR="00B02AD3" w:rsidRDefault="00B02AD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368FD"/>
    <w:rsid w:val="00047FC6"/>
    <w:rsid w:val="000831DD"/>
    <w:rsid w:val="000B68D8"/>
    <w:rsid w:val="000E5AC6"/>
    <w:rsid w:val="000F60B2"/>
    <w:rsid w:val="00134B4E"/>
    <w:rsid w:val="00137A2F"/>
    <w:rsid w:val="00144AB1"/>
    <w:rsid w:val="00160DE0"/>
    <w:rsid w:val="001C12C9"/>
    <w:rsid w:val="00276B89"/>
    <w:rsid w:val="00281D74"/>
    <w:rsid w:val="002D3623"/>
    <w:rsid w:val="002D3C67"/>
    <w:rsid w:val="002D7A03"/>
    <w:rsid w:val="002E4EF9"/>
    <w:rsid w:val="00304506"/>
    <w:rsid w:val="00313201"/>
    <w:rsid w:val="00323502"/>
    <w:rsid w:val="003550EC"/>
    <w:rsid w:val="003A13D1"/>
    <w:rsid w:val="0041499F"/>
    <w:rsid w:val="00447A28"/>
    <w:rsid w:val="004D4F4A"/>
    <w:rsid w:val="00543038"/>
    <w:rsid w:val="0058095D"/>
    <w:rsid w:val="005A05CD"/>
    <w:rsid w:val="005A2DDA"/>
    <w:rsid w:val="005C4B2C"/>
    <w:rsid w:val="005D3E38"/>
    <w:rsid w:val="00654CC9"/>
    <w:rsid w:val="00657F19"/>
    <w:rsid w:val="00665400"/>
    <w:rsid w:val="006B425F"/>
    <w:rsid w:val="006D1620"/>
    <w:rsid w:val="006E5640"/>
    <w:rsid w:val="006E5790"/>
    <w:rsid w:val="00701459"/>
    <w:rsid w:val="00706C5E"/>
    <w:rsid w:val="00723329"/>
    <w:rsid w:val="0077341B"/>
    <w:rsid w:val="0078020C"/>
    <w:rsid w:val="00797B44"/>
    <w:rsid w:val="007A33D2"/>
    <w:rsid w:val="007B2EC9"/>
    <w:rsid w:val="007C3AA4"/>
    <w:rsid w:val="00850BDE"/>
    <w:rsid w:val="008933AE"/>
    <w:rsid w:val="008A6E71"/>
    <w:rsid w:val="008B226F"/>
    <w:rsid w:val="008B4666"/>
    <w:rsid w:val="008D245B"/>
    <w:rsid w:val="00915FD7"/>
    <w:rsid w:val="00942E47"/>
    <w:rsid w:val="009550D9"/>
    <w:rsid w:val="009F043D"/>
    <w:rsid w:val="009F38AC"/>
    <w:rsid w:val="009F5FBD"/>
    <w:rsid w:val="00A736B5"/>
    <w:rsid w:val="00A91626"/>
    <w:rsid w:val="00AB73C9"/>
    <w:rsid w:val="00AD4484"/>
    <w:rsid w:val="00AE7169"/>
    <w:rsid w:val="00AF5199"/>
    <w:rsid w:val="00AF5715"/>
    <w:rsid w:val="00AF7FC7"/>
    <w:rsid w:val="00B02AD3"/>
    <w:rsid w:val="00B22332"/>
    <w:rsid w:val="00B266B6"/>
    <w:rsid w:val="00B41044"/>
    <w:rsid w:val="00B77C4D"/>
    <w:rsid w:val="00BD0E64"/>
    <w:rsid w:val="00BD61B2"/>
    <w:rsid w:val="00C45AEE"/>
    <w:rsid w:val="00C87EA1"/>
    <w:rsid w:val="00CA6DF6"/>
    <w:rsid w:val="00CB1CDF"/>
    <w:rsid w:val="00CB74E9"/>
    <w:rsid w:val="00CD3E2C"/>
    <w:rsid w:val="00CE3532"/>
    <w:rsid w:val="00CE5213"/>
    <w:rsid w:val="00CF14A6"/>
    <w:rsid w:val="00D257A2"/>
    <w:rsid w:val="00D6103A"/>
    <w:rsid w:val="00D63079"/>
    <w:rsid w:val="00D633A5"/>
    <w:rsid w:val="00DB1ECF"/>
    <w:rsid w:val="00DD2942"/>
    <w:rsid w:val="00DD2CAE"/>
    <w:rsid w:val="00DF1053"/>
    <w:rsid w:val="00E219A6"/>
    <w:rsid w:val="00E317FF"/>
    <w:rsid w:val="00E3483C"/>
    <w:rsid w:val="00E46D4E"/>
    <w:rsid w:val="00E77000"/>
    <w:rsid w:val="00E96600"/>
    <w:rsid w:val="00EC515F"/>
    <w:rsid w:val="00ED60C9"/>
    <w:rsid w:val="00EE3E31"/>
    <w:rsid w:val="00EF5D53"/>
    <w:rsid w:val="00EF7D45"/>
    <w:rsid w:val="00F15E7D"/>
    <w:rsid w:val="00F23DAA"/>
    <w:rsid w:val="00F52E52"/>
    <w:rsid w:val="00F708A5"/>
    <w:rsid w:val="00FB1D17"/>
    <w:rsid w:val="00FB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B28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B02A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B02AD3"/>
  </w:style>
  <w:style w:type="paragraph" w:styleId="a9">
    <w:name w:val="footer"/>
    <w:basedOn w:val="a"/>
    <w:link w:val="Char3"/>
    <w:uiPriority w:val="99"/>
    <w:unhideWhenUsed/>
    <w:rsid w:val="00B02A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B02A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2022-04-20T08:36:00Z</dcterms:created>
  <dcterms:modified xsi:type="dcterms:W3CDTF">2022-04-20T08:38:00Z</dcterms:modified>
</cp:coreProperties>
</file>