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7C16A" w14:textId="77777777" w:rsidR="001B7326" w:rsidRPr="001B7326" w:rsidRDefault="001B7326" w:rsidP="009935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1B732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Θέμα 2ο </w:t>
      </w:r>
    </w:p>
    <w:p w14:paraId="69E3D692" w14:textId="77777777" w:rsidR="001B7326" w:rsidRDefault="001B7326" w:rsidP="009935D7">
      <w:pPr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2.1.</w:t>
      </w:r>
    </w:p>
    <w:p w14:paraId="64ABA1C9" w14:textId="4E5BCB32" w:rsidR="001B7326" w:rsidRPr="001B7326" w:rsidRDefault="001B7326" w:rsidP="009935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B732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Το σχήμα ή Μοντέλο του </w:t>
      </w:r>
      <w:proofErr w:type="spellStart"/>
      <w:r w:rsidRPr="001B732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Laswell</w:t>
      </w:r>
      <w:proofErr w:type="spellEnd"/>
      <w:r w:rsidRPr="001B732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έχει χρησιμοποιηθεί από τον ίδιο και πολλούς συγγραφείς- μελετητές, κυρίως, για να αποτελέσει τον οδηγό για τη συστηματική μελέτη και την έρευνα των συντελεστών της Επικοινωνίας.</w:t>
      </w:r>
    </w:p>
    <w:p w14:paraId="276A9ACD" w14:textId="2DFCB588" w:rsidR="001B7326" w:rsidRPr="001B7326" w:rsidRDefault="001B7326" w:rsidP="009935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1B732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α) Τι παραλείπει να </w:t>
      </w:r>
      <w:r w:rsidR="00880CFE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συμ</w:t>
      </w:r>
      <w:r w:rsidRPr="001B7326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περιλάβει το μοντέλο αυτό;  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</w:t>
      </w:r>
      <w:r w:rsidRPr="001B7326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 xml:space="preserve">ονάδες </w:t>
      </w:r>
      <w:r w:rsidR="00451A51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7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)</w:t>
      </w:r>
    </w:p>
    <w:p w14:paraId="3FC16AD6" w14:textId="18ABBFF7" w:rsidR="001B7326" w:rsidRDefault="001B7326" w:rsidP="009935D7">
      <w:pPr>
        <w:pStyle w:val="Web"/>
        <w:spacing w:after="0" w:line="360" w:lineRule="auto"/>
        <w:jc w:val="both"/>
        <w:rPr>
          <w:rFonts w:ascii="Calibri" w:eastAsia="Times New Roman" w:hAnsi="Calibri" w:cs="Calibri"/>
          <w:i/>
          <w:iCs/>
          <w:color w:val="000000"/>
          <w:lang w:eastAsia="el-GR"/>
        </w:rPr>
      </w:pPr>
      <w:r w:rsidRPr="001B7326">
        <w:rPr>
          <w:rFonts w:ascii="Calibri" w:eastAsia="Times New Roman" w:hAnsi="Calibri" w:cs="Calibri"/>
          <w:color w:val="000000"/>
          <w:lang w:eastAsia="el-GR"/>
        </w:rPr>
        <w:t xml:space="preserve">β) Ποιες επιφυλάξεις στο σχήμα αυτό διατύπωσαν άλλοι ερευνητές; </w:t>
      </w:r>
      <w:r>
        <w:rPr>
          <w:rFonts w:ascii="Calibri" w:eastAsia="Times New Roman" w:hAnsi="Calibri" w:cs="Calibri"/>
          <w:color w:val="000000"/>
          <w:lang w:eastAsia="el-GR"/>
        </w:rPr>
        <w:t>(</w:t>
      </w:r>
      <w:r>
        <w:rPr>
          <w:rFonts w:ascii="Calibri" w:eastAsia="Times New Roman" w:hAnsi="Calibri" w:cs="Calibri"/>
          <w:i/>
          <w:iCs/>
          <w:color w:val="000000"/>
          <w:lang w:eastAsia="el-GR"/>
        </w:rPr>
        <w:t>μ</w:t>
      </w:r>
      <w:r w:rsidRPr="001B7326">
        <w:rPr>
          <w:rFonts w:ascii="Calibri" w:eastAsia="Times New Roman" w:hAnsi="Calibri" w:cs="Calibri"/>
          <w:i/>
          <w:iCs/>
          <w:color w:val="000000"/>
          <w:lang w:eastAsia="el-GR"/>
        </w:rPr>
        <w:t xml:space="preserve">ονάδες </w:t>
      </w:r>
      <w:r w:rsidR="00451A51">
        <w:rPr>
          <w:rFonts w:ascii="Calibri" w:eastAsia="Times New Roman" w:hAnsi="Calibri" w:cs="Calibri"/>
          <w:i/>
          <w:iCs/>
          <w:color w:val="000000"/>
          <w:lang w:eastAsia="el-GR"/>
        </w:rPr>
        <w:t>6</w:t>
      </w:r>
      <w:r>
        <w:rPr>
          <w:rFonts w:ascii="Calibri" w:eastAsia="Times New Roman" w:hAnsi="Calibri" w:cs="Calibri"/>
          <w:i/>
          <w:iCs/>
          <w:color w:val="000000"/>
          <w:lang w:eastAsia="el-GR"/>
        </w:rPr>
        <w:t>)</w:t>
      </w:r>
    </w:p>
    <w:p w14:paraId="7A2C6EB4" w14:textId="47C2163D" w:rsidR="001B7326" w:rsidRDefault="009935D7" w:rsidP="009935D7">
      <w:pPr>
        <w:pStyle w:val="Web"/>
        <w:spacing w:after="0" w:line="360" w:lineRule="auto"/>
        <w:ind w:left="6480"/>
        <w:jc w:val="right"/>
        <w:rPr>
          <w:rFonts w:ascii="Calibri" w:eastAsia="Times New Roman" w:hAnsi="Calibri" w:cs="Calibri"/>
          <w:b/>
          <w:i/>
          <w:iCs/>
          <w:color w:val="000000"/>
          <w:lang w:eastAsia="el-GR"/>
        </w:rPr>
      </w:pPr>
      <w:r>
        <w:rPr>
          <w:rFonts w:ascii="Calibri" w:eastAsia="Times New Roman" w:hAnsi="Calibri" w:cs="Calibri"/>
          <w:b/>
          <w:i/>
          <w:iCs/>
          <w:color w:val="000000"/>
          <w:lang w:eastAsia="el-GR"/>
        </w:rPr>
        <w:t xml:space="preserve">      </w:t>
      </w:r>
      <w:r w:rsidR="001B7326" w:rsidRPr="001B7326">
        <w:rPr>
          <w:rFonts w:ascii="Calibri" w:eastAsia="Times New Roman" w:hAnsi="Calibri" w:cs="Calibri"/>
          <w:b/>
          <w:i/>
          <w:iCs/>
          <w:color w:val="000000"/>
          <w:lang w:eastAsia="el-GR"/>
        </w:rPr>
        <w:t>Μονάδες 1</w:t>
      </w:r>
      <w:r w:rsidR="00451A51">
        <w:rPr>
          <w:rFonts w:ascii="Calibri" w:eastAsia="Times New Roman" w:hAnsi="Calibri" w:cs="Calibri"/>
          <w:b/>
          <w:i/>
          <w:iCs/>
          <w:color w:val="000000"/>
          <w:lang w:eastAsia="el-GR"/>
        </w:rPr>
        <w:t>3</w:t>
      </w:r>
    </w:p>
    <w:p w14:paraId="159FDCDD" w14:textId="77777777" w:rsidR="001B7326" w:rsidRPr="001B7326" w:rsidRDefault="001B7326" w:rsidP="009935D7">
      <w:pPr>
        <w:pStyle w:val="Web"/>
        <w:spacing w:after="0" w:line="360" w:lineRule="auto"/>
        <w:ind w:left="6480"/>
        <w:jc w:val="both"/>
        <w:rPr>
          <w:rFonts w:ascii="Calibri" w:eastAsia="Times New Roman" w:hAnsi="Calibri" w:cs="Calibri"/>
          <w:b/>
          <w:i/>
          <w:iCs/>
          <w:color w:val="000000"/>
          <w:lang w:eastAsia="el-GR"/>
        </w:rPr>
      </w:pPr>
    </w:p>
    <w:p w14:paraId="30E8CC4C" w14:textId="77777777" w:rsidR="001B7326" w:rsidRDefault="001B7326" w:rsidP="009935D7">
      <w:pPr>
        <w:pStyle w:val="Web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 w:rsidRPr="001B7326">
        <w:rPr>
          <w:rFonts w:ascii="Calibri" w:eastAsia="Times New Roman" w:hAnsi="Calibri" w:cs="Calibri"/>
          <w:color w:val="000000"/>
          <w:lang w:eastAsia="el-GR"/>
        </w:rPr>
        <w:t>2.2.</w:t>
      </w:r>
    </w:p>
    <w:p w14:paraId="6DF25A6C" w14:textId="662707A9" w:rsidR="0067497C" w:rsidRDefault="0067497C" w:rsidP="009935D7">
      <w:pPr>
        <w:pStyle w:val="Web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 xml:space="preserve">Με την έκφραση κανονική ακοή, εννοούμε τη δυνατότητα της ακοής να συλλαμβάνει τους ήχους τους οποίους μπορούν να συλλαμβάνουν οι υγιείς, με </w:t>
      </w:r>
      <w:r w:rsidR="00516883">
        <w:rPr>
          <w:rFonts w:ascii="Calibri" w:eastAsia="Times New Roman" w:hAnsi="Calibri" w:cs="Calibri"/>
          <w:color w:val="000000"/>
          <w:lang w:eastAsia="el-GR"/>
        </w:rPr>
        <w:t>συνηθισμένη</w:t>
      </w:r>
      <w:r>
        <w:rPr>
          <w:rFonts w:ascii="Calibri" w:eastAsia="Times New Roman" w:hAnsi="Calibri" w:cs="Calibri"/>
          <w:color w:val="000000"/>
          <w:lang w:eastAsia="el-GR"/>
        </w:rPr>
        <w:t xml:space="preserve"> ακουστική ικανότητα, ακροατές. Η κανονική ακοή μπορεί να διακριθεί σε Ενεργητική ακοή και σε Παθητική.</w:t>
      </w:r>
    </w:p>
    <w:p w14:paraId="0583C0C6" w14:textId="493FA790" w:rsidR="0067497C" w:rsidRDefault="0067497C" w:rsidP="009935D7">
      <w:pPr>
        <w:pStyle w:val="Web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 xml:space="preserve">α) Δώστε τον ορισμό της Ενεργητικής ακοής. </w:t>
      </w:r>
      <w:r w:rsidRPr="00EC752F">
        <w:rPr>
          <w:rFonts w:ascii="Calibri" w:eastAsia="Times New Roman" w:hAnsi="Calibri" w:cs="Calibri"/>
          <w:i/>
          <w:color w:val="000000"/>
          <w:lang w:eastAsia="el-GR"/>
        </w:rPr>
        <w:t xml:space="preserve">(μονάδες </w:t>
      </w:r>
      <w:r w:rsidR="00451A51">
        <w:rPr>
          <w:rFonts w:ascii="Calibri" w:eastAsia="Times New Roman" w:hAnsi="Calibri" w:cs="Calibri"/>
          <w:i/>
          <w:color w:val="000000"/>
          <w:lang w:eastAsia="el-GR"/>
        </w:rPr>
        <w:t>6</w:t>
      </w:r>
      <w:r w:rsidRPr="00EC752F">
        <w:rPr>
          <w:rFonts w:ascii="Calibri" w:eastAsia="Times New Roman" w:hAnsi="Calibri" w:cs="Calibri"/>
          <w:i/>
          <w:color w:val="000000"/>
          <w:lang w:eastAsia="el-GR"/>
        </w:rPr>
        <w:t>)</w:t>
      </w:r>
    </w:p>
    <w:p w14:paraId="2A870FD2" w14:textId="61D5DD49" w:rsidR="0067497C" w:rsidRDefault="0067497C" w:rsidP="009935D7">
      <w:pPr>
        <w:pStyle w:val="Web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el-GR"/>
        </w:rPr>
      </w:pPr>
      <w:r>
        <w:rPr>
          <w:rFonts w:ascii="Calibri" w:eastAsia="Times New Roman" w:hAnsi="Calibri" w:cs="Calibri"/>
          <w:color w:val="000000"/>
          <w:lang w:eastAsia="el-GR"/>
        </w:rPr>
        <w:t xml:space="preserve">β) </w:t>
      </w:r>
      <w:r w:rsidR="00EC752F">
        <w:rPr>
          <w:rFonts w:ascii="Calibri" w:eastAsia="Times New Roman" w:hAnsi="Calibri" w:cs="Calibri"/>
          <w:color w:val="000000"/>
          <w:lang w:eastAsia="el-GR"/>
        </w:rPr>
        <w:t>Ποιες προϋποθέσεις</w:t>
      </w:r>
      <w:r w:rsidR="00F908A7">
        <w:rPr>
          <w:rFonts w:ascii="Calibri" w:eastAsia="Times New Roman" w:hAnsi="Calibri" w:cs="Calibri"/>
          <w:color w:val="000000"/>
          <w:lang w:eastAsia="el-GR"/>
        </w:rPr>
        <w:t>, ανεξάρτητα από την κατάσταση του ακουστικού νευρικού συστήματος,</w:t>
      </w:r>
      <w:r w:rsidR="00EC752F">
        <w:rPr>
          <w:rFonts w:ascii="Calibri" w:eastAsia="Times New Roman" w:hAnsi="Calibri" w:cs="Calibri"/>
          <w:color w:val="000000"/>
          <w:lang w:eastAsia="el-GR"/>
        </w:rPr>
        <w:t xml:space="preserve"> πρέπει να ισχύουν για να λειτουργεί η ακοή του ακροατή με τρόπο ενεργητικό</w:t>
      </w:r>
      <w:r w:rsidR="00F908A7">
        <w:rPr>
          <w:rFonts w:ascii="Calibri" w:eastAsia="Times New Roman" w:hAnsi="Calibri" w:cs="Calibri"/>
          <w:color w:val="000000"/>
          <w:lang w:eastAsia="el-GR"/>
        </w:rPr>
        <w:t>;</w:t>
      </w:r>
      <w:r w:rsidR="00EC752F">
        <w:rPr>
          <w:rFonts w:ascii="Calibri" w:eastAsia="Times New Roman" w:hAnsi="Calibri" w:cs="Calibri"/>
          <w:color w:val="000000"/>
          <w:lang w:eastAsia="el-GR"/>
        </w:rPr>
        <w:t xml:space="preserve"> </w:t>
      </w:r>
      <w:r w:rsidR="00EC752F" w:rsidRPr="00EC752F">
        <w:rPr>
          <w:rFonts w:ascii="Calibri" w:eastAsia="Times New Roman" w:hAnsi="Calibri" w:cs="Calibri"/>
          <w:i/>
          <w:color w:val="000000"/>
          <w:lang w:eastAsia="el-GR"/>
        </w:rPr>
        <w:t xml:space="preserve">(μονάδες </w:t>
      </w:r>
      <w:r w:rsidR="00EC752F">
        <w:rPr>
          <w:rFonts w:ascii="Calibri" w:eastAsia="Times New Roman" w:hAnsi="Calibri" w:cs="Calibri"/>
          <w:i/>
          <w:color w:val="000000"/>
          <w:lang w:eastAsia="el-GR"/>
        </w:rPr>
        <w:t>6</w:t>
      </w:r>
      <w:r w:rsidR="00EC752F" w:rsidRPr="00EC752F">
        <w:rPr>
          <w:rFonts w:ascii="Calibri" w:eastAsia="Times New Roman" w:hAnsi="Calibri" w:cs="Calibri"/>
          <w:i/>
          <w:color w:val="000000"/>
          <w:lang w:eastAsia="el-GR"/>
        </w:rPr>
        <w:t>)</w:t>
      </w:r>
    </w:p>
    <w:p w14:paraId="1A76C55B" w14:textId="3F99321B" w:rsidR="001B7326" w:rsidRPr="00EC752F" w:rsidRDefault="009935D7" w:rsidP="009935D7">
      <w:pPr>
        <w:pStyle w:val="Web"/>
        <w:spacing w:after="0" w:line="360" w:lineRule="auto"/>
        <w:ind w:left="5760" w:firstLine="720"/>
        <w:jc w:val="right"/>
        <w:rPr>
          <w:rFonts w:ascii="Calibri" w:eastAsia="Times New Roman" w:hAnsi="Calibri" w:cs="Calibri"/>
          <w:b/>
          <w:i/>
          <w:color w:val="000000"/>
          <w:lang w:eastAsia="el-GR"/>
        </w:rPr>
      </w:pPr>
      <w:r>
        <w:rPr>
          <w:rFonts w:ascii="Calibri" w:eastAsia="Times New Roman" w:hAnsi="Calibri" w:cs="Calibri"/>
          <w:b/>
          <w:i/>
          <w:color w:val="000000"/>
          <w:lang w:eastAsia="el-GR"/>
        </w:rPr>
        <w:t xml:space="preserve">  </w:t>
      </w:r>
      <w:r w:rsidR="00EC752F" w:rsidRPr="00EC752F">
        <w:rPr>
          <w:rFonts w:ascii="Calibri" w:eastAsia="Times New Roman" w:hAnsi="Calibri" w:cs="Calibri"/>
          <w:b/>
          <w:i/>
          <w:color w:val="000000"/>
          <w:lang w:eastAsia="el-GR"/>
        </w:rPr>
        <w:t>Μονάδες 1</w:t>
      </w:r>
      <w:r w:rsidR="00451A51">
        <w:rPr>
          <w:rFonts w:ascii="Calibri" w:eastAsia="Times New Roman" w:hAnsi="Calibri" w:cs="Calibri"/>
          <w:b/>
          <w:i/>
          <w:color w:val="000000"/>
          <w:lang w:eastAsia="el-GR"/>
        </w:rPr>
        <w:t>2</w:t>
      </w:r>
    </w:p>
    <w:p w14:paraId="597DF445" w14:textId="77777777" w:rsidR="00EC752F" w:rsidRDefault="00EC752F" w:rsidP="009935D7">
      <w:pPr>
        <w:pStyle w:val="Web"/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el-GR"/>
        </w:rPr>
      </w:pPr>
    </w:p>
    <w:p w14:paraId="5010EE75" w14:textId="77777777" w:rsidR="00EC752F" w:rsidRDefault="00EC752F" w:rsidP="009935D7">
      <w:pPr>
        <w:pStyle w:val="Web"/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el-GR"/>
        </w:rPr>
      </w:pPr>
    </w:p>
    <w:p w14:paraId="3498CDDB" w14:textId="77777777" w:rsidR="00EC752F" w:rsidRDefault="00EC752F" w:rsidP="009935D7">
      <w:pPr>
        <w:pStyle w:val="Web"/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el-GR"/>
        </w:rPr>
      </w:pPr>
    </w:p>
    <w:p w14:paraId="651E0BBF" w14:textId="77777777" w:rsidR="00EC752F" w:rsidRDefault="00EC752F" w:rsidP="009935D7">
      <w:pPr>
        <w:pStyle w:val="Web"/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el-GR"/>
        </w:rPr>
      </w:pPr>
    </w:p>
    <w:p w14:paraId="4CB57946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68FA58EE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67328EE1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19A04793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34E69337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0CAA8365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047F6813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26C86517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70DAE211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181FA7A8" w14:textId="77777777" w:rsidR="00EC752F" w:rsidRDefault="00EC752F" w:rsidP="001B7326">
      <w:pPr>
        <w:pStyle w:val="Web"/>
        <w:spacing w:after="0" w:line="360" w:lineRule="auto"/>
        <w:rPr>
          <w:rFonts w:ascii="Calibri" w:eastAsia="Times New Roman" w:hAnsi="Calibri" w:cs="Calibri"/>
          <w:b/>
          <w:color w:val="000000"/>
          <w:lang w:eastAsia="el-GR"/>
        </w:rPr>
      </w:pPr>
    </w:p>
    <w:p w14:paraId="04544DF4" w14:textId="77777777" w:rsidR="00A518E5" w:rsidRPr="00D374FC" w:rsidRDefault="00A518E5" w:rsidP="001B7326">
      <w:pPr>
        <w:spacing w:line="360" w:lineRule="auto"/>
        <w:rPr>
          <w:sz w:val="24"/>
          <w:szCs w:val="24"/>
        </w:rPr>
      </w:pPr>
    </w:p>
    <w:sectPr w:rsidR="00A518E5" w:rsidRPr="00D374FC" w:rsidSect="009935D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9"/>
    <w:rsid w:val="00132097"/>
    <w:rsid w:val="001B7326"/>
    <w:rsid w:val="00451A51"/>
    <w:rsid w:val="004E6C19"/>
    <w:rsid w:val="00516883"/>
    <w:rsid w:val="00557DBF"/>
    <w:rsid w:val="0067497C"/>
    <w:rsid w:val="00707649"/>
    <w:rsid w:val="00880CFE"/>
    <w:rsid w:val="008F7F29"/>
    <w:rsid w:val="009935D7"/>
    <w:rsid w:val="00A07739"/>
    <w:rsid w:val="00A30839"/>
    <w:rsid w:val="00A518E5"/>
    <w:rsid w:val="00D374FC"/>
    <w:rsid w:val="00EC752F"/>
    <w:rsid w:val="00F9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150B"/>
  <w15:chartTrackingRefBased/>
  <w15:docId w15:val="{B2B99A21-49AD-4E48-ADE0-F03C2B27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B73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2022-04-03T19:18:00Z</dcterms:created>
  <dcterms:modified xsi:type="dcterms:W3CDTF">2022-04-03T19:18:00Z</dcterms:modified>
</cp:coreProperties>
</file>