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CABC" w14:textId="77777777" w:rsidR="005701DE" w:rsidRPr="000A17FF" w:rsidRDefault="005701DE" w:rsidP="005701DE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0A17FF">
        <w:rPr>
          <w:rFonts w:asciiTheme="minorHAnsi" w:hAnsiTheme="minorHAnsi" w:cstheme="minorHAnsi"/>
          <w:b/>
          <w:bCs/>
        </w:rPr>
        <w:t>ΘΕΜΑ 2</w:t>
      </w:r>
      <w:r w:rsidRPr="000A17FF">
        <w:rPr>
          <w:rFonts w:asciiTheme="minorHAnsi" w:hAnsiTheme="minorHAnsi" w:cstheme="minorHAnsi"/>
          <w:b/>
          <w:bCs/>
          <w:vertAlign w:val="superscript"/>
        </w:rPr>
        <w:t>Ο</w:t>
      </w:r>
      <w:r w:rsidRPr="000A17FF">
        <w:rPr>
          <w:rFonts w:asciiTheme="minorHAnsi" w:hAnsiTheme="minorHAnsi" w:cstheme="minorHAnsi"/>
          <w:b/>
          <w:bCs/>
        </w:rPr>
        <w:t xml:space="preserve"> </w:t>
      </w:r>
    </w:p>
    <w:p w14:paraId="3D18E3D3" w14:textId="512FE39C" w:rsidR="005701DE" w:rsidRPr="005701DE" w:rsidRDefault="005701DE" w:rsidP="005701DE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</w:rPr>
      </w:pPr>
      <w:r w:rsidRPr="000A17FF">
        <w:rPr>
          <w:rStyle w:val="normaltextrun"/>
          <w:rFonts w:asciiTheme="minorHAnsi" w:hAnsiTheme="minorHAnsi" w:cstheme="minorHAnsi"/>
          <w:b/>
          <w:bCs/>
        </w:rPr>
        <w:t xml:space="preserve">α) </w:t>
      </w:r>
      <w:r w:rsidRPr="000A17FF">
        <w:rPr>
          <w:rFonts w:asciiTheme="minorHAnsi" w:hAnsiTheme="minorHAnsi" w:cstheme="minorHAnsi"/>
        </w:rPr>
        <w:t>Μακροπρόθεσμες υποχρεώσεις. Πρόκειται για τις υποχρεώσεις που λήγουν μετά το τέλος της επόμενης χρήσης</w:t>
      </w:r>
      <w:r>
        <w:rPr>
          <w:rFonts w:asciiTheme="minorHAnsi" w:hAnsiTheme="minorHAnsi" w:cstheme="minorHAnsi"/>
        </w:rPr>
        <w:t>, όπως ομολογιακά δάνεια, μακροπρόθεσμα δάνεια τραπεζών κτλ.</w:t>
      </w:r>
      <w:r w:rsidRPr="000A17F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Pr="000A17FF">
        <w:rPr>
          <w:rFonts w:asciiTheme="minorHAnsi" w:hAnsiTheme="minorHAnsi" w:cstheme="minorHAnsi"/>
        </w:rPr>
        <w:t xml:space="preserve"> </w:t>
      </w:r>
      <w:r w:rsidRPr="000A17FF">
        <w:rPr>
          <w:rStyle w:val="normaltextrun"/>
          <w:rFonts w:asciiTheme="minorHAnsi" w:hAnsiTheme="minorHAnsi" w:cstheme="minorHAnsi"/>
          <w:b/>
          <w:bCs/>
        </w:rPr>
        <w:t>(Μονάδες 12)</w:t>
      </w:r>
    </w:p>
    <w:p w14:paraId="7EE8EC0B" w14:textId="77777777" w:rsidR="005701DE" w:rsidRPr="000A17FF" w:rsidRDefault="005701DE" w:rsidP="005701DE">
      <w:pPr>
        <w:pStyle w:val="paragraph"/>
        <w:spacing w:before="0" w:after="0" w:line="360" w:lineRule="auto"/>
        <w:jc w:val="both"/>
        <w:rPr>
          <w:rStyle w:val="normaltextrun"/>
          <w:rFonts w:asciiTheme="minorHAnsi" w:hAnsiTheme="minorHAnsi" w:cstheme="minorHAnsi"/>
          <w:b/>
          <w:bCs/>
        </w:rPr>
      </w:pPr>
    </w:p>
    <w:p w14:paraId="48B44C65" w14:textId="6584F229" w:rsidR="005701DE" w:rsidRPr="000A17FF" w:rsidRDefault="005701DE" w:rsidP="005701DE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0A17FF">
        <w:rPr>
          <w:rStyle w:val="normaltextrun"/>
          <w:rFonts w:asciiTheme="minorHAnsi" w:hAnsiTheme="minorHAnsi" w:cstheme="minorHAnsi"/>
          <w:b/>
          <w:bCs/>
        </w:rPr>
        <w:t>β)</w:t>
      </w:r>
      <w:r w:rsidRPr="000A17FF">
        <w:rPr>
          <w:rFonts w:asciiTheme="minorHAnsi" w:hAnsiTheme="minorHAnsi" w:cstheme="minorHAnsi"/>
        </w:rPr>
        <w:t xml:space="preserve"> Επιλέγονται </w:t>
      </w:r>
      <w:r>
        <w:rPr>
          <w:rFonts w:asciiTheme="minorHAnsi" w:hAnsiTheme="minorHAnsi" w:cstheme="minorHAnsi"/>
        </w:rPr>
        <w:t>τέσσερα</w:t>
      </w:r>
      <w:r w:rsidRPr="000A17FF">
        <w:rPr>
          <w:rFonts w:asciiTheme="minorHAnsi" w:hAnsiTheme="minorHAnsi" w:cstheme="minorHAnsi"/>
        </w:rPr>
        <w:t xml:space="preserve"> στοιχεία από τα παρακάτω:</w:t>
      </w:r>
    </w:p>
    <w:p w14:paraId="47E395D5" w14:textId="77777777" w:rsidR="005701DE" w:rsidRPr="000A17FF" w:rsidRDefault="005701DE" w:rsidP="005701DE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0A17FF">
        <w:rPr>
          <w:rFonts w:asciiTheme="minorHAnsi" w:hAnsiTheme="minorHAnsi" w:cstheme="minorHAnsi"/>
        </w:rPr>
        <w:t>α) Αποθέματα υλικών αξιών, όπως εμπορεύματα, έτοιμα προϊόντα, ημιτελή προϊόντα, πρώτες και βοηθητικές ύλες, ανταλλακτικά πάγιων στοιχείων, είδη συσκευασίας κτλ.</w:t>
      </w:r>
    </w:p>
    <w:p w14:paraId="00F7EFBD" w14:textId="77777777" w:rsidR="005701DE" w:rsidRPr="000A17FF" w:rsidRDefault="005701DE" w:rsidP="005701DE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0A17FF">
        <w:rPr>
          <w:rFonts w:asciiTheme="minorHAnsi" w:hAnsiTheme="minorHAnsi" w:cstheme="minorHAnsi"/>
        </w:rPr>
        <w:t xml:space="preserve">β) Βραχυπρόθεσμες απαιτήσεις. Είναι οι απαιτήσεις που πρόκειται να εισπραχθούν το αργότερο μέχρι το τέλος της επόμενης χρήσης, όπως πελάτες, γραμμάτια εισπρακτέα, χρεώστες διάφοροι κτλ. </w:t>
      </w:r>
    </w:p>
    <w:p w14:paraId="42B4D397" w14:textId="77777777" w:rsidR="005701DE" w:rsidRPr="000A17FF" w:rsidRDefault="005701DE" w:rsidP="005701DE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0A17FF">
        <w:rPr>
          <w:rFonts w:asciiTheme="minorHAnsi" w:hAnsiTheme="minorHAnsi" w:cstheme="minorHAnsi"/>
        </w:rPr>
        <w:t>γ) Χρεόγραφα. Είναι οι μετοχές Α.Ε. (εφόσον δεν πρόκειται για συμμετοχές), ομολογίες, ομόλογα, έντοκα γραμμάτια του Ελληνικού Δημοσίου κτλ.</w:t>
      </w:r>
    </w:p>
    <w:p w14:paraId="2E262EF6" w14:textId="77777777" w:rsidR="005701DE" w:rsidRPr="000A17FF" w:rsidRDefault="005701DE" w:rsidP="005701DE">
      <w:pPr>
        <w:pStyle w:val="paragraph"/>
        <w:spacing w:before="0" w:after="0" w:line="360" w:lineRule="auto"/>
        <w:jc w:val="both"/>
        <w:rPr>
          <w:rFonts w:asciiTheme="minorHAnsi" w:hAnsiTheme="minorHAnsi" w:cstheme="minorHAnsi"/>
        </w:rPr>
      </w:pPr>
      <w:r w:rsidRPr="000A17FF">
        <w:rPr>
          <w:rFonts w:asciiTheme="minorHAnsi" w:hAnsiTheme="minorHAnsi" w:cstheme="minorHAnsi"/>
        </w:rPr>
        <w:t xml:space="preserve"> δ) Διαθέσιμα. Είναι τα περιουσιακά στοιχεία που μετατρέπονται σε χρήματα αμέσως και ασφαλώς, δηλαδή μπορούν να χρησιμοποιηθούν για πληρωμές σε οποιαδήποτε στιγμή, όπως μετρητά (ταμείο), καταθέσεις όψεως, ληγμένα τοκομερίδια ομολογιών εισπρακτέα.                                                                                                           </w:t>
      </w:r>
      <w:r w:rsidRPr="000A17FF">
        <w:rPr>
          <w:rStyle w:val="normaltextrun"/>
          <w:rFonts w:asciiTheme="minorHAnsi" w:hAnsiTheme="minorHAnsi" w:cstheme="minorHAnsi"/>
          <w:b/>
          <w:bCs/>
        </w:rPr>
        <w:t>(Μονάδες 13)</w:t>
      </w:r>
    </w:p>
    <w:p w14:paraId="09E44FEA" w14:textId="77777777" w:rsidR="005701DE" w:rsidRDefault="005701DE" w:rsidP="005701DE"/>
    <w:p w14:paraId="7A585598" w14:textId="77777777" w:rsidR="00437EA1" w:rsidRDefault="00437EA1"/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DE"/>
    <w:rsid w:val="00437EA1"/>
    <w:rsid w:val="005701DE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C9C6"/>
  <w15:chartTrackingRefBased/>
  <w15:docId w15:val="{F28D81B6-D718-4354-A69F-2FFD720C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1DE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5701DE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57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2022-04-03T13:30:00Z</dcterms:created>
  <dcterms:modified xsi:type="dcterms:W3CDTF">2022-04-03T13:34:00Z</dcterms:modified>
</cp:coreProperties>
</file>