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9B0" w:rsidRDefault="004769B0" w:rsidP="00B11008">
      <w:pPr>
        <w:spacing w:after="0" w:line="360" w:lineRule="auto"/>
        <w:jc w:val="both"/>
        <w:rPr>
          <w:rFonts w:cstheme="minorHAnsi"/>
          <w:b/>
          <w:sz w:val="24"/>
          <w:szCs w:val="24"/>
        </w:rPr>
      </w:pPr>
    </w:p>
    <w:p w:rsidR="00862283" w:rsidRPr="00CE0B4F" w:rsidRDefault="00862283" w:rsidP="00B11008">
      <w:pPr>
        <w:spacing w:after="0" w:line="360" w:lineRule="auto"/>
        <w:jc w:val="both"/>
        <w:rPr>
          <w:rFonts w:cstheme="minorHAnsi"/>
          <w:b/>
          <w:sz w:val="24"/>
          <w:szCs w:val="24"/>
        </w:rPr>
      </w:pPr>
      <w:r w:rsidRPr="00CE0B4F">
        <w:rPr>
          <w:rFonts w:cstheme="minorHAnsi"/>
          <w:b/>
          <w:sz w:val="24"/>
          <w:szCs w:val="24"/>
        </w:rPr>
        <w:t>Ενδεικτικές απαντήσεις</w:t>
      </w:r>
    </w:p>
    <w:p w:rsidR="00862283" w:rsidRPr="00CE0B4F" w:rsidRDefault="00862283" w:rsidP="00B11008">
      <w:pPr>
        <w:spacing w:after="0" w:line="360" w:lineRule="auto"/>
        <w:jc w:val="both"/>
        <w:rPr>
          <w:rFonts w:cstheme="minorHAnsi"/>
          <w:b/>
          <w:sz w:val="24"/>
          <w:szCs w:val="24"/>
        </w:rPr>
      </w:pPr>
    </w:p>
    <w:p w:rsidR="00CE0B4F" w:rsidRPr="00CE0B4F" w:rsidRDefault="00CE0B4F" w:rsidP="00B11008">
      <w:pPr>
        <w:spacing w:after="0" w:line="360" w:lineRule="auto"/>
        <w:jc w:val="both"/>
        <w:rPr>
          <w:rFonts w:cstheme="minorHAnsi"/>
          <w:b/>
          <w:sz w:val="24"/>
          <w:szCs w:val="24"/>
        </w:rPr>
      </w:pPr>
      <w:r w:rsidRPr="00CE0B4F">
        <w:rPr>
          <w:rFonts w:cstheme="minorHAnsi"/>
          <w:b/>
          <w:sz w:val="24"/>
          <w:szCs w:val="24"/>
        </w:rPr>
        <w:t>Θέμα 4</w:t>
      </w:r>
      <w:r w:rsidRPr="00CE0B4F">
        <w:rPr>
          <w:rFonts w:cstheme="minorHAnsi"/>
          <w:b/>
          <w:sz w:val="24"/>
          <w:szCs w:val="24"/>
          <w:vertAlign w:val="superscript"/>
        </w:rPr>
        <w:t>ο</w:t>
      </w:r>
      <w:r w:rsidRPr="00CE0B4F">
        <w:rPr>
          <w:rFonts w:cstheme="minorHAnsi"/>
          <w:b/>
          <w:sz w:val="24"/>
          <w:szCs w:val="24"/>
        </w:rPr>
        <w:t xml:space="preserve"> </w:t>
      </w:r>
    </w:p>
    <w:p w:rsidR="00862283" w:rsidRPr="00CE0B4F" w:rsidRDefault="00862283" w:rsidP="00B11008">
      <w:pPr>
        <w:spacing w:after="0" w:line="360" w:lineRule="auto"/>
        <w:jc w:val="both"/>
        <w:rPr>
          <w:rFonts w:cstheme="minorHAnsi"/>
          <w:b/>
          <w:sz w:val="24"/>
          <w:szCs w:val="24"/>
        </w:rPr>
      </w:pPr>
      <w:r w:rsidRPr="00CE0B4F">
        <w:rPr>
          <w:rFonts w:cstheme="minorHAnsi"/>
          <w:b/>
          <w:sz w:val="24"/>
          <w:szCs w:val="24"/>
        </w:rPr>
        <w:t>4.1</w:t>
      </w:r>
    </w:p>
    <w:p w:rsidR="00862283" w:rsidRPr="00CE0B4F" w:rsidRDefault="00862283" w:rsidP="00B11008">
      <w:pPr>
        <w:spacing w:after="0" w:line="360" w:lineRule="auto"/>
        <w:jc w:val="both"/>
        <w:rPr>
          <w:sz w:val="24"/>
          <w:szCs w:val="24"/>
        </w:rPr>
      </w:pPr>
      <w:r w:rsidRPr="00CE0B4F">
        <w:rPr>
          <w:rFonts w:cstheme="minorHAnsi"/>
          <w:b/>
          <w:sz w:val="24"/>
          <w:szCs w:val="24"/>
        </w:rPr>
        <w:t>α.</w:t>
      </w:r>
      <w:r w:rsidRPr="00CE0B4F">
        <w:rPr>
          <w:rFonts w:cstheme="minorHAnsi"/>
          <w:sz w:val="24"/>
          <w:szCs w:val="24"/>
        </w:rPr>
        <w:t xml:space="preserve">  </w:t>
      </w:r>
      <w:r w:rsidRPr="00CE0B4F">
        <w:rPr>
          <w:sz w:val="24"/>
          <w:szCs w:val="24"/>
        </w:rPr>
        <w:t>Ένα μέρος του υγρού αυτού βρίσκεται μέσα στα κύτταρα και λέγεται ενδοκυττάριο υγρό. Το υγρό συστατικό του αίματος και το υγρό που βρίσκεται ανάμεσα στα κύτταρα αποτελεί το εξωκυττάριο υγρό.</w:t>
      </w:r>
      <w:r w:rsidR="00F042F3" w:rsidRPr="00CE0B4F">
        <w:rPr>
          <w:sz w:val="24"/>
          <w:szCs w:val="24"/>
        </w:rPr>
        <w:t xml:space="preserve"> </w:t>
      </w:r>
    </w:p>
    <w:p w:rsidR="00862283" w:rsidRPr="00CE0B4F" w:rsidRDefault="00862283" w:rsidP="00B11008">
      <w:pPr>
        <w:spacing w:after="0" w:line="360" w:lineRule="auto"/>
        <w:jc w:val="both"/>
        <w:rPr>
          <w:sz w:val="24"/>
          <w:szCs w:val="24"/>
        </w:rPr>
      </w:pPr>
      <w:r w:rsidRPr="00CE0B4F">
        <w:rPr>
          <w:b/>
          <w:sz w:val="24"/>
          <w:szCs w:val="24"/>
        </w:rPr>
        <w:t>β.</w:t>
      </w:r>
      <w:r w:rsidRPr="00CE0B4F">
        <w:rPr>
          <w:sz w:val="24"/>
          <w:szCs w:val="24"/>
        </w:rPr>
        <w:t xml:space="preserve"> Τα δύο αυτά υγρά διαφέρουν σημαντικά ως προς τη σύστασή τους. Το εξωκυττάριο υγρό περιέχει μεγάλες ποσότητες νατρίου και πολύ μικρές ποσότητες καλίου. Το ενδοκυττάριο υγρό, αντίθετα, περιέχει μεγάλες ποσότητες καλίου και μικρές νατρίου. </w:t>
      </w:r>
    </w:p>
    <w:p w:rsidR="00862283" w:rsidRPr="00CE0B4F" w:rsidRDefault="00862283" w:rsidP="00B11008">
      <w:pPr>
        <w:spacing w:after="0" w:line="360" w:lineRule="auto"/>
        <w:jc w:val="both"/>
        <w:rPr>
          <w:sz w:val="24"/>
          <w:szCs w:val="24"/>
        </w:rPr>
      </w:pPr>
      <w:r w:rsidRPr="00CE0B4F">
        <w:rPr>
          <w:sz w:val="24"/>
          <w:szCs w:val="24"/>
        </w:rPr>
        <w:t>Το εξωκυττάριο υγρό επίσης περιέχει μεγάλες ποσότητες άλλων  ιόντων και θρεπτικές ουσίες για το κύτταρο, όπως οξυγόνο, γλυκόζη, λιπ</w:t>
      </w:r>
      <w:r w:rsidR="00CE0B4F" w:rsidRPr="00CE0B4F">
        <w:rPr>
          <w:sz w:val="24"/>
          <w:szCs w:val="24"/>
        </w:rPr>
        <w:t xml:space="preserve">αρά οξέα και αμινοξέα. </w:t>
      </w:r>
    </w:p>
    <w:p w:rsidR="00862283" w:rsidRPr="00CE0B4F" w:rsidRDefault="00862283" w:rsidP="00B11008">
      <w:pPr>
        <w:spacing w:after="0" w:line="360" w:lineRule="auto"/>
        <w:jc w:val="both"/>
        <w:rPr>
          <w:sz w:val="24"/>
          <w:szCs w:val="24"/>
        </w:rPr>
      </w:pPr>
    </w:p>
    <w:p w:rsidR="00862283" w:rsidRPr="00CE0B4F" w:rsidRDefault="00862283" w:rsidP="00B11008">
      <w:pPr>
        <w:spacing w:after="0" w:line="360" w:lineRule="auto"/>
        <w:jc w:val="both"/>
        <w:rPr>
          <w:b/>
          <w:sz w:val="24"/>
          <w:szCs w:val="24"/>
        </w:rPr>
      </w:pPr>
      <w:r w:rsidRPr="00CE0B4F">
        <w:rPr>
          <w:b/>
          <w:sz w:val="24"/>
          <w:szCs w:val="24"/>
        </w:rPr>
        <w:t>4.2</w:t>
      </w:r>
    </w:p>
    <w:p w:rsidR="00862283" w:rsidRPr="00CE0B4F" w:rsidRDefault="00862283" w:rsidP="00B11008">
      <w:pPr>
        <w:spacing w:after="0" w:line="360" w:lineRule="auto"/>
        <w:jc w:val="both"/>
        <w:rPr>
          <w:sz w:val="24"/>
          <w:szCs w:val="24"/>
        </w:rPr>
      </w:pPr>
      <w:r w:rsidRPr="00CE0B4F">
        <w:rPr>
          <w:sz w:val="24"/>
          <w:szCs w:val="24"/>
        </w:rPr>
        <w:t xml:space="preserve">Ώσμωση ονομάζεται το φαινόμενο κατά το οποίο σε δύο διαλύματα διαφορετικής πυκνότητας που χωρίζονται με ημιδιαπερατή μεμβράνη παρατηρείται μετακίνηση του διαλύτη από το αραιότερο στο πυκνότερο διάλυμα. </w:t>
      </w:r>
    </w:p>
    <w:p w:rsidR="00862283" w:rsidRPr="00CE0B4F" w:rsidRDefault="00862283" w:rsidP="00B11008">
      <w:pPr>
        <w:spacing w:after="0" w:line="360" w:lineRule="auto"/>
        <w:jc w:val="both"/>
        <w:rPr>
          <w:b/>
          <w:sz w:val="24"/>
          <w:szCs w:val="24"/>
        </w:rPr>
      </w:pPr>
      <w:r w:rsidRPr="00CE0B4F">
        <w:rPr>
          <w:sz w:val="24"/>
          <w:szCs w:val="24"/>
        </w:rPr>
        <w:t>Η διαφορετική συγκέντρωση ουσιών στο ενδοκυττάριο και εξωκυττάριο υγρό προκαλεί καθαρή μετακίνηση νερού μέσα από τη μεμβράνη, με αποτέλεσμα τη διόγκωση ή τη συρρίκνωση του κυττάρου ανάλογα με την κατεύθυνση τ</w:t>
      </w:r>
      <w:r w:rsidR="00CE0B4F" w:rsidRPr="00CE0B4F">
        <w:rPr>
          <w:sz w:val="24"/>
          <w:szCs w:val="24"/>
        </w:rPr>
        <w:t xml:space="preserve">ης μετακίνησης. </w:t>
      </w:r>
    </w:p>
    <w:p w:rsidR="00862283" w:rsidRPr="00862283" w:rsidRDefault="00862283" w:rsidP="00B11008">
      <w:pPr>
        <w:spacing w:after="0" w:line="360" w:lineRule="auto"/>
        <w:jc w:val="both"/>
      </w:pPr>
    </w:p>
    <w:p w:rsidR="00862283" w:rsidRDefault="00862283" w:rsidP="00B11008">
      <w:pPr>
        <w:spacing w:after="0" w:line="360" w:lineRule="auto"/>
        <w:jc w:val="both"/>
        <w:rPr>
          <w:rFonts w:cstheme="minorHAnsi"/>
          <w:sz w:val="24"/>
          <w:szCs w:val="24"/>
        </w:rPr>
      </w:pPr>
    </w:p>
    <w:p w:rsidR="00862283" w:rsidRDefault="00862283" w:rsidP="00B11008">
      <w:pPr>
        <w:spacing w:after="0" w:line="360" w:lineRule="auto"/>
        <w:jc w:val="both"/>
        <w:rPr>
          <w:rFonts w:cstheme="minorHAnsi"/>
          <w:sz w:val="24"/>
          <w:szCs w:val="24"/>
        </w:rPr>
      </w:pPr>
    </w:p>
    <w:p w:rsidR="00862283" w:rsidRDefault="00862283" w:rsidP="00B11008">
      <w:pPr>
        <w:spacing w:after="0" w:line="360" w:lineRule="auto"/>
        <w:jc w:val="both"/>
        <w:rPr>
          <w:rFonts w:cstheme="minorHAnsi"/>
          <w:sz w:val="24"/>
          <w:szCs w:val="24"/>
        </w:rPr>
      </w:pPr>
    </w:p>
    <w:p w:rsidR="00F042F3" w:rsidRDefault="00F042F3" w:rsidP="00B11008">
      <w:pPr>
        <w:spacing w:after="0" w:line="360" w:lineRule="auto"/>
        <w:jc w:val="both"/>
        <w:rPr>
          <w:rFonts w:cstheme="minorHAnsi"/>
          <w:b/>
          <w:sz w:val="24"/>
          <w:szCs w:val="24"/>
        </w:rPr>
      </w:pPr>
    </w:p>
    <w:sectPr w:rsidR="00F042F3" w:rsidSect="00B11008">
      <w:pgSz w:w="11906" w:h="16838"/>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362FC2"/>
    <w:multiLevelType w:val="hybridMultilevel"/>
    <w:tmpl w:val="6FE04FF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7954A0"/>
    <w:rsid w:val="00020BDC"/>
    <w:rsid w:val="000A6C13"/>
    <w:rsid w:val="000C21B8"/>
    <w:rsid w:val="00124626"/>
    <w:rsid w:val="00234948"/>
    <w:rsid w:val="002A4CB3"/>
    <w:rsid w:val="002C5A4C"/>
    <w:rsid w:val="002F0150"/>
    <w:rsid w:val="003C5823"/>
    <w:rsid w:val="003E0585"/>
    <w:rsid w:val="00401250"/>
    <w:rsid w:val="004769B0"/>
    <w:rsid w:val="00537B11"/>
    <w:rsid w:val="00565505"/>
    <w:rsid w:val="005B1B4F"/>
    <w:rsid w:val="00604DD8"/>
    <w:rsid w:val="007113AB"/>
    <w:rsid w:val="00734E6D"/>
    <w:rsid w:val="007954A0"/>
    <w:rsid w:val="007D7FDD"/>
    <w:rsid w:val="007F02CB"/>
    <w:rsid w:val="007F36DF"/>
    <w:rsid w:val="00862283"/>
    <w:rsid w:val="009041B3"/>
    <w:rsid w:val="00913EB1"/>
    <w:rsid w:val="00B11008"/>
    <w:rsid w:val="00B26AEC"/>
    <w:rsid w:val="00BB1C6C"/>
    <w:rsid w:val="00BD4D1E"/>
    <w:rsid w:val="00C12C26"/>
    <w:rsid w:val="00C43452"/>
    <w:rsid w:val="00C96B61"/>
    <w:rsid w:val="00CA04F8"/>
    <w:rsid w:val="00CE0B4F"/>
    <w:rsid w:val="00D66A62"/>
    <w:rsid w:val="00D95BCB"/>
    <w:rsid w:val="00DA23B5"/>
    <w:rsid w:val="00E639A9"/>
    <w:rsid w:val="00E65182"/>
    <w:rsid w:val="00EA0C1E"/>
    <w:rsid w:val="00EB564A"/>
    <w:rsid w:val="00EE5178"/>
    <w:rsid w:val="00F042F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3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7FD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901</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Info-Quest</Company>
  <LinksUpToDate>false</LinksUpToDate>
  <CharactersWithSpaces>1065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3epal</dc:creator>
  <cp:lastModifiedBy>agoritsa</cp:lastModifiedBy>
  <cp:revision>4</cp:revision>
  <dcterms:created xsi:type="dcterms:W3CDTF">2022-02-26T08:28:00Z</dcterms:created>
  <dcterms:modified xsi:type="dcterms:W3CDTF">2022-03-13T19:26:00Z</dcterms:modified>
</cp:coreProperties>
</file>