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94C8C" w14:textId="77777777" w:rsidR="00D339BF" w:rsidRDefault="00D9309C">
      <w:pPr>
        <w:pStyle w:val="a8"/>
        <w:spacing w:after="0" w:line="360" w:lineRule="auto"/>
        <w:ind w:left="0"/>
        <w:jc w:val="both"/>
        <w:rPr>
          <w:b/>
          <w:bCs/>
          <w:sz w:val="24"/>
          <w:szCs w:val="24"/>
        </w:rPr>
      </w:pPr>
      <w:r>
        <w:rPr>
          <w:b/>
          <w:bCs/>
          <w:sz w:val="24"/>
          <w:szCs w:val="24"/>
        </w:rPr>
        <w:t xml:space="preserve">ΔΙΔΑΓΜΕΝΟ ΚΕΙΜΕΝΟ Λυσίας, </w:t>
      </w:r>
      <w:r>
        <w:rPr>
          <w:b/>
          <w:bCs/>
          <w:i/>
          <w:iCs/>
          <w:sz w:val="24"/>
          <w:szCs w:val="24"/>
        </w:rPr>
        <w:t>Ὑπὲρ Μαντιθέου</w:t>
      </w:r>
      <w:r>
        <w:rPr>
          <w:b/>
          <w:bCs/>
          <w:sz w:val="24"/>
          <w:szCs w:val="24"/>
        </w:rPr>
        <w:t xml:space="preserve"> </w:t>
      </w:r>
      <w:r>
        <w:rPr>
          <w:rFonts w:cs="Calibri"/>
          <w:b/>
          <w:bCs/>
          <w:sz w:val="24"/>
          <w:szCs w:val="24"/>
        </w:rPr>
        <w:t>§§</w:t>
      </w:r>
      <w:r>
        <w:rPr>
          <w:b/>
          <w:bCs/>
          <w:sz w:val="24"/>
          <w:szCs w:val="24"/>
        </w:rPr>
        <w:t>1-3.7</w:t>
      </w:r>
    </w:p>
    <w:p w14:paraId="4E4A67B5" w14:textId="77777777" w:rsidR="00D339BF" w:rsidRDefault="00D9309C">
      <w:pPr>
        <w:pStyle w:val="a8"/>
        <w:spacing w:after="0" w:line="360" w:lineRule="auto"/>
        <w:ind w:left="0"/>
        <w:jc w:val="both"/>
        <w:rPr>
          <w:b/>
          <w:bCs/>
          <w:sz w:val="24"/>
          <w:szCs w:val="24"/>
        </w:rPr>
      </w:pPr>
      <w:r>
        <w:rPr>
          <w:b/>
          <w:bCs/>
          <w:sz w:val="24"/>
          <w:szCs w:val="24"/>
        </w:rPr>
        <w:t>Α1.</w:t>
      </w:r>
    </w:p>
    <w:p w14:paraId="17796439" w14:textId="77777777" w:rsidR="00D339BF" w:rsidRDefault="00D9309C">
      <w:pPr>
        <w:pStyle w:val="Web"/>
        <w:textAlignment w:val="baseline"/>
      </w:pPr>
      <w:r>
        <w:rPr>
          <w:rFonts w:ascii="Calibri" w:eastAsia="Segoe UI" w:hAnsi="Calibri" w:cs="Calibri"/>
          <w:b/>
          <w:bCs/>
          <w:shd w:val="clear" w:color="auto" w:fill="FFFFFF"/>
          <w:lang w:val="el"/>
        </w:rPr>
        <w:t>α</w:t>
      </w:r>
      <w:r w:rsidRPr="00AB277D">
        <w:rPr>
          <w:rFonts w:ascii="Calibri" w:eastAsia="Segoe UI" w:hAnsi="Calibri" w:cs="Calibri"/>
          <w:b/>
          <w:bCs/>
          <w:shd w:val="clear" w:color="auto" w:fill="FFFFFF"/>
        </w:rPr>
        <w:t>.</w:t>
      </w:r>
      <w:r>
        <w:rPr>
          <w:rFonts w:ascii="Calibri" w:eastAsia="Segoe UI" w:hAnsi="Calibri" w:cs="Calibri"/>
          <w:shd w:val="clear" w:color="auto" w:fill="FFFFFF"/>
        </w:rPr>
        <w:t> </w:t>
      </w:r>
    </w:p>
    <w:p w14:paraId="27068D8A" w14:textId="743E1C5D" w:rsidR="00D339BF" w:rsidRDefault="00D9309C">
      <w:pPr>
        <w:pStyle w:val="Web"/>
        <w:textAlignment w:val="baseline"/>
      </w:pPr>
      <w:r>
        <w:rPr>
          <w:rFonts w:ascii="Calibri" w:eastAsia="Segoe UI" w:hAnsi="Calibri" w:cs="Calibri"/>
          <w:shd w:val="clear" w:color="auto" w:fill="FFFFFF"/>
          <w:lang w:val="el"/>
        </w:rPr>
        <w:t>1</w:t>
      </w:r>
      <w:r w:rsidR="006823CD">
        <w:rPr>
          <w:rFonts w:ascii="Calibri" w:eastAsia="Segoe UI" w:hAnsi="Calibri" w:cs="Calibri"/>
          <w:shd w:val="clear" w:color="auto" w:fill="FFFFFF"/>
          <w:lang w:val="el"/>
        </w:rPr>
        <w:t>. – Λ</w:t>
      </w:r>
      <w:r>
        <w:rPr>
          <w:rFonts w:ascii="Calibri" w:eastAsia="Segoe UI" w:hAnsi="Calibri" w:cs="Calibri"/>
          <w:shd w:val="clear" w:color="auto" w:fill="FFFFFF"/>
          <w:lang w:val="el"/>
        </w:rPr>
        <w:t xml:space="preserve">: </w:t>
      </w:r>
      <w:r>
        <w:rPr>
          <w:rFonts w:ascii="Calibri" w:eastAsia="Segoe UI" w:hAnsi="Calibri" w:cs="Calibri"/>
          <w:i/>
          <w:iCs/>
          <w:shd w:val="clear" w:color="auto" w:fill="FFFFFF"/>
          <w:lang w:val="el"/>
        </w:rPr>
        <w:t>ἡγοῦμαι γὰρ τοῖς ἀδίκως διαβεβλημένοις τούτους εἶναι μεγίστων ἀγαθῶν αἰτίους</w:t>
      </w:r>
      <w:r>
        <w:rPr>
          <w:rFonts w:ascii="Calibri" w:eastAsia="Segoe UI" w:hAnsi="Calibri" w:cs="Calibri"/>
          <w:shd w:val="clear" w:color="auto" w:fill="FFFFFF"/>
        </w:rPr>
        <w:t> </w:t>
      </w:r>
    </w:p>
    <w:p w14:paraId="4170AEC4" w14:textId="46BA17B3" w:rsidR="00D339BF" w:rsidRDefault="00D9309C">
      <w:pPr>
        <w:pStyle w:val="Web"/>
        <w:textAlignment w:val="baseline"/>
      </w:pPr>
      <w:r>
        <w:rPr>
          <w:rFonts w:ascii="Calibri" w:eastAsia="Segoe UI" w:hAnsi="Calibri" w:cs="Calibri"/>
          <w:shd w:val="clear" w:color="auto" w:fill="FFFFFF"/>
          <w:lang w:val="el"/>
        </w:rPr>
        <w:t>2</w:t>
      </w:r>
      <w:r w:rsidR="006823CD">
        <w:rPr>
          <w:rFonts w:ascii="Calibri" w:eastAsia="Segoe UI" w:hAnsi="Calibri" w:cs="Calibri"/>
          <w:shd w:val="clear" w:color="auto" w:fill="FFFFFF"/>
          <w:lang w:val="el"/>
        </w:rPr>
        <w:t xml:space="preserve">. – </w:t>
      </w:r>
      <w:r>
        <w:rPr>
          <w:rFonts w:ascii="Calibri" w:eastAsia="Segoe UI" w:hAnsi="Calibri" w:cs="Calibri"/>
          <w:shd w:val="clear" w:color="auto" w:fill="FFFFFF"/>
          <w:lang w:val="el"/>
        </w:rPr>
        <w:t xml:space="preserve">Λ: </w:t>
      </w:r>
      <w:r>
        <w:rPr>
          <w:rFonts w:ascii="Calibri" w:eastAsia="Segoe UI" w:hAnsi="Calibri" w:cs="Calibri"/>
          <w:i/>
          <w:iCs/>
          <w:shd w:val="clear" w:color="auto" w:fill="FFFFFF"/>
          <w:lang w:val="el"/>
        </w:rPr>
        <w:t>ἐλπίζω</w:t>
      </w:r>
      <w:r w:rsidRPr="00AB277D">
        <w:rPr>
          <w:rFonts w:ascii="Calibri" w:eastAsia="Segoe UI" w:hAnsi="Calibri" w:cs="Calibri"/>
          <w:i/>
          <w:iCs/>
          <w:shd w:val="clear" w:color="auto" w:fill="FFFFFF"/>
        </w:rPr>
        <w:t xml:space="preserve"> </w:t>
      </w:r>
      <w:r>
        <w:rPr>
          <w:i/>
          <w:iCs/>
        </w:rPr>
        <w:t>καὶ εἴ τις πρός με τυγχάνει ἀηδῶς [ἢ κακῶς] διακείμενος</w:t>
      </w:r>
      <w:r>
        <w:rPr>
          <w:rFonts w:ascii="Calibri" w:eastAsia="Segoe UI" w:hAnsi="Calibri" w:cs="Calibri"/>
          <w:i/>
          <w:iCs/>
          <w:shd w:val="clear" w:color="auto" w:fill="FFFFFF"/>
          <w:lang w:val="el"/>
        </w:rPr>
        <w:t>… μεταμελήσειν αὐτῷ καὶ πολὺ βελτίω με εἰς τὸν λοιπὸν χρόνον ἡγήσεσθαι</w:t>
      </w:r>
      <w:r w:rsidRPr="00AB277D">
        <w:rPr>
          <w:rFonts w:ascii="Calibri" w:eastAsia="Segoe UI" w:hAnsi="Calibri" w:cs="Calibri"/>
          <w:i/>
          <w:iCs/>
          <w:shd w:val="clear" w:color="auto" w:fill="FFFFFF"/>
        </w:rPr>
        <w:t>.</w:t>
      </w:r>
      <w:r>
        <w:rPr>
          <w:rFonts w:ascii="Calibri" w:eastAsia="Segoe UI" w:hAnsi="Calibri" w:cs="Calibri"/>
          <w:shd w:val="clear" w:color="auto" w:fill="FFFFFF"/>
        </w:rPr>
        <w:t> </w:t>
      </w:r>
    </w:p>
    <w:p w14:paraId="46259448" w14:textId="570645D0" w:rsidR="002564E8" w:rsidRDefault="002564E8">
      <w:pPr>
        <w:pStyle w:val="Web"/>
        <w:textAlignment w:val="baseline"/>
      </w:pPr>
      <w:r>
        <w:rPr>
          <w:rFonts w:ascii="Calibri" w:eastAsia="Segoe UI" w:hAnsi="Calibri" w:cs="Calibri"/>
          <w:shd w:val="clear" w:color="auto" w:fill="FFFFFF"/>
        </w:rPr>
        <w:t>3</w:t>
      </w:r>
      <w:r w:rsidR="006823CD">
        <w:rPr>
          <w:rFonts w:ascii="Calibri" w:eastAsia="Segoe UI" w:hAnsi="Calibri" w:cs="Calibri"/>
          <w:shd w:val="clear" w:color="auto" w:fill="FFFFFF"/>
        </w:rPr>
        <w:t xml:space="preserve">. – </w:t>
      </w:r>
      <w:r>
        <w:rPr>
          <w:rFonts w:ascii="Calibri" w:eastAsia="Segoe UI" w:hAnsi="Calibri" w:cs="Calibri"/>
          <w:shd w:val="clear" w:color="auto" w:fill="FFFFFF"/>
        </w:rPr>
        <w:t xml:space="preserve">Λ: </w:t>
      </w:r>
      <w:r w:rsidRPr="002564E8">
        <w:rPr>
          <w:rFonts w:ascii="Calibri" w:eastAsia="Segoe UI" w:hAnsi="Calibri" w:cs="Calibri"/>
          <w:i/>
          <w:iCs/>
          <w:shd w:val="clear" w:color="auto" w:fill="FFFFFF"/>
        </w:rPr>
        <w:t xml:space="preserve">ἐὰν μὲν τοῦτο μόνον ὑμῖν ἐπιδείξω, </w:t>
      </w:r>
      <w:r>
        <w:rPr>
          <w:rFonts w:ascii="Calibri" w:eastAsia="Segoe UI" w:hAnsi="Calibri" w:cs="Calibri"/>
          <w:i/>
          <w:iCs/>
          <w:shd w:val="clear" w:color="auto" w:fill="FFFFFF"/>
        </w:rPr>
        <w:t>…</w:t>
      </w:r>
      <w:r w:rsidRPr="002564E8">
        <w:rPr>
          <w:rFonts w:ascii="Calibri" w:eastAsia="Segoe UI" w:hAnsi="Calibri" w:cs="Calibri"/>
          <w:i/>
          <w:iCs/>
          <w:shd w:val="clear" w:color="auto" w:fill="FFFFFF"/>
        </w:rPr>
        <w:t xml:space="preserve"> καὶ ὡς ἠνάγκασμαι τῶν αὐτῶν κινδύνων μετέχειν ὑμῖν, μηδέν πώ μοι πλέον εἶναι·</w:t>
      </w:r>
    </w:p>
    <w:p w14:paraId="1FC461F3" w14:textId="77777777" w:rsidR="00D339BF" w:rsidRDefault="00D9309C">
      <w:pPr>
        <w:pStyle w:val="Web"/>
        <w:textAlignment w:val="baseline"/>
      </w:pPr>
      <w:r>
        <w:rPr>
          <w:rFonts w:ascii="Calibri" w:eastAsia="Segoe UI" w:hAnsi="Calibri" w:cs="Calibri"/>
          <w:b/>
          <w:bCs/>
          <w:shd w:val="clear" w:color="auto" w:fill="FFFFFF"/>
          <w:lang w:val="el"/>
        </w:rPr>
        <w:t>β</w:t>
      </w:r>
      <w:r w:rsidRPr="00AB277D">
        <w:rPr>
          <w:rFonts w:ascii="Calibri" w:eastAsia="Segoe UI" w:hAnsi="Calibri" w:cs="Calibri"/>
          <w:b/>
          <w:bCs/>
          <w:shd w:val="clear" w:color="auto" w:fill="FFFFFF"/>
        </w:rPr>
        <w:t>.</w:t>
      </w:r>
      <w:r>
        <w:rPr>
          <w:rFonts w:ascii="Calibri" w:eastAsia="Segoe UI" w:hAnsi="Calibri" w:cs="Calibri"/>
          <w:shd w:val="clear" w:color="auto" w:fill="FFFFFF"/>
        </w:rPr>
        <w:t> </w:t>
      </w:r>
    </w:p>
    <w:p w14:paraId="13F99A52" w14:textId="33076901" w:rsidR="00D339BF" w:rsidRPr="00CB7957" w:rsidRDefault="0096694A">
      <w:pPr>
        <w:pStyle w:val="Web"/>
        <w:textAlignment w:val="baseline"/>
        <w:rPr>
          <w:rFonts w:ascii="Calibri" w:eastAsia="Segoe UI" w:hAnsi="Calibri" w:cs="Calibri"/>
          <w:shd w:val="clear" w:color="auto" w:fill="FFFFFF"/>
        </w:rPr>
      </w:pPr>
      <w:r w:rsidRPr="00CB7957">
        <w:rPr>
          <w:rFonts w:ascii="Calibri" w:eastAsia="Segoe UI" w:hAnsi="Calibri" w:cs="Calibri"/>
          <w:shd w:val="clear" w:color="auto" w:fill="FFFFFF"/>
        </w:rPr>
        <w:t xml:space="preserve">1) Με την αντωνυμία </w:t>
      </w:r>
      <w:r w:rsidRPr="00CB7957">
        <w:rPr>
          <w:rFonts w:ascii="Calibri" w:eastAsia="Segoe UI" w:hAnsi="Calibri" w:cs="Calibri"/>
          <w:b/>
          <w:i/>
          <w:shd w:val="clear" w:color="auto" w:fill="FFFFFF"/>
        </w:rPr>
        <w:t>οἵτινες</w:t>
      </w:r>
      <w:r w:rsidRPr="00CB7957">
        <w:rPr>
          <w:rFonts w:ascii="Calibri" w:eastAsia="Segoe UI" w:hAnsi="Calibri" w:cs="Calibri"/>
          <w:b/>
          <w:shd w:val="clear" w:color="auto" w:fill="FFFFFF"/>
        </w:rPr>
        <w:t xml:space="preserve"> </w:t>
      </w:r>
      <w:r w:rsidRPr="00CB7957">
        <w:rPr>
          <w:rFonts w:ascii="Calibri" w:eastAsia="Segoe UI" w:hAnsi="Calibri" w:cs="Calibri"/>
          <w:shd w:val="clear" w:color="auto" w:fill="FFFFFF"/>
        </w:rPr>
        <w:t>ο Μαντίθεος</w:t>
      </w:r>
      <w:r w:rsidRPr="00CB7957">
        <w:rPr>
          <w:rFonts w:ascii="Calibri" w:eastAsia="Segoe UI" w:hAnsi="Calibri" w:cs="Calibri"/>
          <w:b/>
          <w:shd w:val="clear" w:color="auto" w:fill="FFFFFF"/>
        </w:rPr>
        <w:t xml:space="preserve"> </w:t>
      </w:r>
      <w:r w:rsidRPr="00CB7957">
        <w:rPr>
          <w:rFonts w:ascii="Calibri" w:eastAsia="Segoe UI" w:hAnsi="Calibri" w:cs="Calibri"/>
          <w:shd w:val="clear" w:color="auto" w:fill="FFFFFF"/>
        </w:rPr>
        <w:t>αναφέρεται σε όσους κατηγορούν άδικα αυτούς που ελέγχονται κατά τη δοκιμασία.</w:t>
      </w:r>
    </w:p>
    <w:p w14:paraId="69A1F542" w14:textId="61F1EBAF" w:rsidR="00D339BF" w:rsidRPr="005C4AC5" w:rsidRDefault="0096694A">
      <w:pPr>
        <w:pStyle w:val="Web"/>
        <w:textAlignment w:val="baseline"/>
        <w:rPr>
          <w:rFonts w:ascii="Calibri" w:eastAsia="Segoe UI" w:hAnsi="Calibri" w:cs="Calibri"/>
          <w:shd w:val="clear" w:color="auto" w:fill="FFFFFF"/>
        </w:rPr>
      </w:pPr>
      <w:r w:rsidRPr="00CB7957">
        <w:rPr>
          <w:rFonts w:ascii="Calibri" w:eastAsia="Segoe UI" w:hAnsi="Calibri" w:cs="Calibri"/>
          <w:shd w:val="clear" w:color="auto" w:fill="FFFFFF"/>
        </w:rPr>
        <w:t xml:space="preserve">2) Με την αντωνυμία </w:t>
      </w:r>
      <w:r w:rsidRPr="00CB7957">
        <w:rPr>
          <w:rFonts w:ascii="Calibri" w:eastAsia="Segoe UI" w:hAnsi="Calibri" w:cs="Calibri"/>
          <w:b/>
          <w:i/>
          <w:shd w:val="clear" w:color="auto" w:fill="FFFFFF"/>
        </w:rPr>
        <w:t>τούτους</w:t>
      </w:r>
      <w:r w:rsidRPr="00CB7957">
        <w:rPr>
          <w:rFonts w:ascii="Calibri" w:eastAsia="Segoe UI" w:hAnsi="Calibri" w:cs="Calibri"/>
          <w:shd w:val="clear" w:color="auto" w:fill="FFFFFF"/>
        </w:rPr>
        <w:t xml:space="preserve"> ο Μαντίθεος</w:t>
      </w:r>
      <w:r w:rsidRPr="00CB7957">
        <w:rPr>
          <w:rFonts w:ascii="Calibri" w:eastAsia="Segoe UI" w:hAnsi="Calibri" w:cs="Calibri"/>
          <w:b/>
          <w:shd w:val="clear" w:color="auto" w:fill="FFFFFF"/>
        </w:rPr>
        <w:t xml:space="preserve"> </w:t>
      </w:r>
      <w:r w:rsidRPr="00CB7957">
        <w:rPr>
          <w:rFonts w:ascii="Calibri" w:eastAsia="Segoe UI" w:hAnsi="Calibri" w:cs="Calibri"/>
          <w:shd w:val="clear" w:color="auto" w:fill="FFFFFF"/>
        </w:rPr>
        <w:t>αναφέρεται στους εχθρούς του, δηλαδή στους κατηγόρους του.</w:t>
      </w:r>
    </w:p>
    <w:p w14:paraId="215BB485" w14:textId="18EB908A" w:rsidR="00D339BF" w:rsidRDefault="00D9309C" w:rsidP="005C4AC5">
      <w:pPr>
        <w:pStyle w:val="paragraph"/>
        <w:spacing w:before="0" w:beforeAutospacing="0" w:after="0" w:afterAutospacing="0" w:line="360" w:lineRule="auto"/>
        <w:jc w:val="both"/>
        <w:textAlignment w:val="baseline"/>
        <w:rPr>
          <w:rStyle w:val="eop"/>
          <w:rFonts w:ascii="Calibri" w:hAnsi="Calibri" w:cs="Segoe UI"/>
        </w:rPr>
      </w:pPr>
      <w:r>
        <w:rPr>
          <w:rFonts w:ascii="Calibri" w:hAnsi="Calibri" w:cs="Calibri"/>
          <w:b/>
          <w:bCs/>
        </w:rPr>
        <w:t>ΠΑΡΑΛΛΗΛΟ ΚΕΙΜΕΝΟ</w:t>
      </w:r>
      <w:r>
        <w:rPr>
          <w:b/>
          <w:bCs/>
        </w:rPr>
        <w:t xml:space="preserve"> </w:t>
      </w:r>
      <w:r>
        <w:rPr>
          <w:rStyle w:val="spellingerror"/>
          <w:rFonts w:ascii="Calibri" w:hAnsi="Calibri" w:cs="Segoe UI"/>
          <w:b/>
          <w:bCs/>
        </w:rPr>
        <w:t>Ἀριστοτέλης</w:t>
      </w:r>
      <w:r>
        <w:rPr>
          <w:rStyle w:val="normaltextrun"/>
          <w:rFonts w:ascii="Calibri" w:hAnsi="Calibri" w:cs="Segoe UI"/>
          <w:b/>
          <w:bCs/>
        </w:rPr>
        <w:t xml:space="preserve">, </w:t>
      </w:r>
      <w:r>
        <w:rPr>
          <w:rStyle w:val="spellingerror"/>
          <w:rFonts w:ascii="Calibri" w:hAnsi="Calibri" w:cs="Segoe UI"/>
          <w:b/>
          <w:bCs/>
          <w:i/>
          <w:iCs/>
        </w:rPr>
        <w:t>Ῥητορικὴ</w:t>
      </w:r>
      <w:r>
        <w:rPr>
          <w:rStyle w:val="normaltextrun"/>
          <w:rFonts w:ascii="Calibri" w:hAnsi="Calibri" w:cs="Segoe UI"/>
          <w:b/>
          <w:bCs/>
          <w:i/>
          <w:iCs/>
        </w:rPr>
        <w:t xml:space="preserve"> </w:t>
      </w:r>
      <w:r w:rsidR="00AB277D" w:rsidRPr="00AB277D">
        <w:rPr>
          <w:rStyle w:val="normaltextrun"/>
          <w:rFonts w:ascii="Calibri" w:hAnsi="Calibri" w:cs="Segoe UI"/>
          <w:b/>
          <w:bCs/>
        </w:rPr>
        <w:t xml:space="preserve">Γ14 </w:t>
      </w:r>
      <w:r>
        <w:rPr>
          <w:rStyle w:val="normaltextrun"/>
          <w:rFonts w:ascii="Calibri" w:hAnsi="Calibri" w:cs="Segoe UI"/>
          <w:b/>
          <w:bCs/>
        </w:rPr>
        <w:t>1415</w:t>
      </w:r>
      <w:r w:rsidR="00AB277D">
        <w:rPr>
          <w:rStyle w:val="normaltextrun"/>
          <w:rFonts w:ascii="Calibri" w:hAnsi="Calibri" w:cs="Segoe UI"/>
          <w:b/>
          <w:bCs/>
          <w:lang w:val="de-DE"/>
        </w:rPr>
        <w:t>a</w:t>
      </w:r>
      <w:r w:rsidR="00AB277D">
        <w:rPr>
          <w:rStyle w:val="normaltextrun"/>
          <w:rFonts w:ascii="Calibri" w:hAnsi="Calibri" w:cs="Segoe UI"/>
          <w:b/>
          <w:bCs/>
        </w:rPr>
        <w:t xml:space="preserve"> 22-34</w:t>
      </w:r>
    </w:p>
    <w:p w14:paraId="56291826" w14:textId="77777777" w:rsidR="00D339BF" w:rsidRDefault="00D9309C" w:rsidP="005C4AC5">
      <w:r>
        <w:rPr>
          <w:b/>
          <w:bCs/>
        </w:rPr>
        <w:t>Επισήμανση</w:t>
      </w:r>
      <w:r>
        <w:t>:</w:t>
      </w:r>
      <w:r>
        <w:rPr>
          <w:b/>
          <w:bCs/>
        </w:rPr>
        <w:t xml:space="preserve"> </w:t>
      </w:r>
      <w:r>
        <w:t xml:space="preserve">Το συγκεκριμένο παράλληλο κείμενο παρουσιάζει τόσο τη βασική  όσο και τις επιμέρους λειτουργίες ενός προοιμίου. Στο αντίστοιχο χωρίο από το προοίμιο του </w:t>
      </w:r>
      <w:r>
        <w:rPr>
          <w:i/>
          <w:iCs/>
        </w:rPr>
        <w:t xml:space="preserve">Ὑπὲρ Μαντιθέου </w:t>
      </w:r>
      <w:r>
        <w:t xml:space="preserve">διακρίνονται καθαρά η κατεύθυνση του  λόγου του Μαντιθέου, η εστίαση στον ομιλητή/κατηγορούμενο, η προσέγγιση του ακροατηρίου, το βασικό θέμα του λόγου, η αναφορά στον αντίδικο. Να σημειωθεί ότι στο συγκεκριμένο χωρίο του προοιμίου δεν αναφέρεται ρητώς η κατηγορία παρά μόνο μέσω των επιδιώξεων του ομιλητή/κατηγορούμενου. Επιπλέον αξίζει να αναφερθεί ότι ο ομιλητής στοχεύει όχι απλώς στην αναίρεση της κατηγορίας, αλλά στη συνολική παρουσίαση της προσωπικότητάς του, πράγμα αναμενόμενο σε μια δοκιμασία.  </w:t>
      </w:r>
    </w:p>
    <w:p w14:paraId="01904EBD" w14:textId="77777777" w:rsidR="00D339BF" w:rsidRDefault="00D9309C" w:rsidP="005C4AC5">
      <w:r>
        <w:rPr>
          <w:b/>
          <w:bCs/>
        </w:rPr>
        <w:t xml:space="preserve">Β4. </w:t>
      </w:r>
      <w:r>
        <w:t>1-β, 2-α, 3-α, 4-β, 5-β</w:t>
      </w:r>
    </w:p>
    <w:p w14:paraId="03DAB23F" w14:textId="77777777" w:rsidR="00D339BF" w:rsidRDefault="00D9309C">
      <w:pPr>
        <w:rPr>
          <w:b/>
          <w:bCs/>
        </w:rPr>
      </w:pPr>
      <w:r>
        <w:rPr>
          <w:b/>
          <w:bCs/>
        </w:rPr>
        <w:t xml:space="preserve">ΑΔΙΔΑΚΤΟ ΚΕΙΜΕΝΟ </w:t>
      </w:r>
      <w:r>
        <w:rPr>
          <w:b/>
          <w:bCs/>
          <w:szCs w:val="24"/>
        </w:rPr>
        <w:t xml:space="preserve">Ἀντιφῶν, </w:t>
      </w:r>
      <w:r>
        <w:rPr>
          <w:b/>
          <w:bCs/>
          <w:i/>
          <w:iCs/>
          <w:szCs w:val="24"/>
        </w:rPr>
        <w:t>Περὶ τοῦ χορευτοῦ</w:t>
      </w:r>
      <w:r>
        <w:rPr>
          <w:b/>
          <w:bCs/>
          <w:szCs w:val="24"/>
        </w:rPr>
        <w:t xml:space="preserve"> §§24-25</w:t>
      </w:r>
    </w:p>
    <w:p w14:paraId="77F4DF55" w14:textId="77777777" w:rsidR="00D339BF" w:rsidRDefault="00D9309C">
      <w:pPr>
        <w:rPr>
          <w:b/>
          <w:bCs/>
        </w:rPr>
      </w:pPr>
      <w:r>
        <w:rPr>
          <w:b/>
          <w:bCs/>
        </w:rPr>
        <w:t>Ενδεικτικές νεοελληνικές αποδόσεις</w:t>
      </w:r>
    </w:p>
    <w:tbl>
      <w:tblPr>
        <w:tblStyle w:val="a7"/>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8"/>
        <w:gridCol w:w="4392"/>
      </w:tblGrid>
      <w:tr w:rsidR="00D339BF" w14:paraId="662DF7B7" w14:textId="77777777" w:rsidTr="00AB277D">
        <w:tc>
          <w:tcPr>
            <w:tcW w:w="2579" w:type="pct"/>
          </w:tcPr>
          <w:p w14:paraId="0828AA2B" w14:textId="77777777" w:rsidR="00D339BF" w:rsidRDefault="00D9309C">
            <w:r>
              <w:t xml:space="preserve">Αυτή ήταν η πρόκληση που του απηύθυνα ενώπιον του δικαστηρίου. </w:t>
            </w:r>
            <w:r>
              <w:rPr>
                <w:lang w:val="en-US"/>
              </w:rPr>
              <w:t>K</w:t>
            </w:r>
            <w:r>
              <w:t xml:space="preserve">αι όχι μόνο οι ίδιοι οι δικαστές αλλά και πλήθος απλών πολιτών ήταν εκεί ως μάρτυρες. Ωστόσο, αρνήθηκαν να φέρουν την υπόθεση στη </w:t>
            </w:r>
            <w:r>
              <w:lastRenderedPageBreak/>
              <w:t>δικαιοσύνη εκείνη την εποχή, και έκτοτε αρνούνταν επίμονα. Γνώριζαν πολύ καλά ότι αντί να τους παράσχω αποδείξεις για την ενοχή μου, μια τέτοια έρευνα θα μου παρείχε απόδειξη ότι η δική τους κατηγορία ήταν εντελώς άδικη και αβάσιμη. Γνωρίζετε καλά, άνδρες, ότι αυτοί είναι οι μεγαλύτεροι και ισχυρότεροι εξαναγκασμοί ανάμεσα στους ανθρώπους και ότι ο πιο σαφής και ο  πλέον αξιόπιστος έλεγχος του δικαίου μπορεί να γίνει στις περιπτώσεις που υπάρχουν πολλοί ελεύθεροι πολίτες που γνωρίζουν (τα πράγματα) και (στις περιπτώσεις που υπάρχουν) δούλοι και είναι δυνατόν να αναγκάσει (κάποιος) τους ελεύθερους (να πουν την αλήθεια) με όρκους και με τον λόγο της τιμής τους, που είναι τα μεγαλύτερα και σπουδαιότερα πράγματα για τους ελεύθερους, και είναι δυνατόν (να αναγκάσει) τους δούλους με άλλα μέσα εξαναγκασμού, που, αν και πρόκειται να θανατωθούν (από τον κύριό τους), επειδή είπαν την αλήθεια, αναγκάζονται παρόλα αυτά να πουν την αλήθεια. Γιατί, στον καθένα η ανάγκη της παρούσης στιγμής είναι ισχυρότερη από αυτή του μέλλοντος.</w:t>
            </w:r>
          </w:p>
          <w:p w14:paraId="1B14ED3E" w14:textId="2803C83D" w:rsidR="00D339BF" w:rsidRDefault="00D9309C" w:rsidP="00A77508">
            <w:pPr>
              <w:rPr>
                <w:b/>
                <w:bCs/>
                <w:szCs w:val="24"/>
              </w:rPr>
            </w:pPr>
            <w:r>
              <w:rPr>
                <w:b/>
                <w:bCs/>
                <w:szCs w:val="24"/>
              </w:rPr>
              <w:t xml:space="preserve">Μτφρ. </w:t>
            </w:r>
            <w:r>
              <w:rPr>
                <w:b/>
                <w:bCs/>
                <w:szCs w:val="24"/>
                <w:lang w:val="en-US"/>
              </w:rPr>
              <w:t>Maidment</w:t>
            </w:r>
            <w:r>
              <w:rPr>
                <w:b/>
                <w:bCs/>
                <w:szCs w:val="24"/>
              </w:rPr>
              <w:t xml:space="preserve">, </w:t>
            </w:r>
            <w:r>
              <w:rPr>
                <w:b/>
                <w:bCs/>
                <w:szCs w:val="24"/>
                <w:lang w:val="en-US"/>
              </w:rPr>
              <w:t>K</w:t>
            </w:r>
            <w:r>
              <w:rPr>
                <w:b/>
                <w:bCs/>
                <w:szCs w:val="24"/>
              </w:rPr>
              <w:t xml:space="preserve">. </w:t>
            </w:r>
            <w:r>
              <w:rPr>
                <w:b/>
                <w:bCs/>
                <w:szCs w:val="24"/>
                <w:lang w:val="en-US"/>
              </w:rPr>
              <w:t>J</w:t>
            </w:r>
            <w:r>
              <w:rPr>
                <w:b/>
                <w:bCs/>
                <w:szCs w:val="24"/>
              </w:rPr>
              <w:t xml:space="preserve">. 1941. </w:t>
            </w:r>
            <w:r w:rsidRPr="00CB7957">
              <w:rPr>
                <w:b/>
                <w:bCs/>
                <w:szCs w:val="24"/>
              </w:rPr>
              <w:t>Διασκευή</w:t>
            </w:r>
            <w:r w:rsidR="00CB7957">
              <w:rPr>
                <w:b/>
                <w:bCs/>
                <w:szCs w:val="24"/>
              </w:rPr>
              <w:t xml:space="preserve"> </w:t>
            </w:r>
            <w:r w:rsidRPr="00CB7957">
              <w:rPr>
                <w:b/>
                <w:bCs/>
                <w:szCs w:val="24"/>
              </w:rPr>
              <w:t>από τα αγγλικά στα νέα ελληνικά</w:t>
            </w:r>
            <w:r w:rsidR="0015130A" w:rsidRPr="0015130A">
              <w:rPr>
                <w:b/>
                <w:bCs/>
                <w:szCs w:val="24"/>
              </w:rPr>
              <w:t>.</w:t>
            </w:r>
            <w:r w:rsidR="009E7A78" w:rsidRPr="00CB7957">
              <w:rPr>
                <w:b/>
                <w:bCs/>
                <w:szCs w:val="24"/>
              </w:rPr>
              <w:t xml:space="preserve"> </w:t>
            </w:r>
          </w:p>
        </w:tc>
        <w:tc>
          <w:tcPr>
            <w:tcW w:w="2421" w:type="pct"/>
          </w:tcPr>
          <w:p w14:paraId="0CDE3127" w14:textId="77777777" w:rsidR="00D339BF" w:rsidRDefault="00D9309C">
            <w:pPr>
              <w:rPr>
                <w:szCs w:val="24"/>
              </w:rPr>
            </w:pPr>
            <w:r>
              <w:rPr>
                <w:szCs w:val="24"/>
              </w:rPr>
              <w:lastRenderedPageBreak/>
              <w:t xml:space="preserve">Κι ενώ εγώ τους προκαλούσα και τους πρότεινα όλ’ αυτά στο δικαστήριο, όπου ήταν μάρτυρες οι ίδιοι οι δικαστές και άλλοι πολλοί ιδιώτες, αυτοί ούτε τότε αμέσως, ούτε κατόπιν ποτέ έως αυτή τη </w:t>
            </w:r>
            <w:r>
              <w:rPr>
                <w:szCs w:val="24"/>
              </w:rPr>
              <w:lastRenderedPageBreak/>
              <w:t>στιγμή, δεν δέχτηκαν να ενεργήσουν κατ’ αυτό τον δίκαιο τρόπο, επειδή ήξεραν καλά, ότι αυτός ο έλεγχος δεν θάβγαινε προς όφελος δικό τους κι εναντίον μου, αλλ’ αντιστρόφως, γιατί αυτό που μου κατηγορούσαν, δεν ήταν ούτε δίκαιο ούτε αληθινό. Γνωρίζετε όμως, κύριοι, ότι αυτοί είναι οι μεγαλύτεροι και ισχυρότεροι εξαναγκασμοί, που μπορούν να γίνουν μεταξύ ανθρώπων, και ότι ο πλέον σαφής και ο πλέον αξιόπιστος έλεγχος του δικαίου μπορεί να πραγματοποιηθεί στις περιπτώσεις που υπάρχουν πολλοί ελεύθεροι πολίτες γνώστες των πραγμάτων και πολλοί δούλοι, και είναι δυνατό να αναγκάσει κανείς τους πρώτους να πουν την αλήθεια με τον όρκο και με τον λόγο της τιμής τους, που είναι τα μεγαλύτερα και ιερότερα πράγματα για έναν ελεύθερο, και τους δούλους με άλλα μέσα εξαναγκασμού, που κι αν μέλλουν ακόμη να θανατωθούν από τον κύριό τους, επειδή μαρτύρησαν, αναγκάζονται εν τούτοις να πουν την αλήθεια, γιατί πάντα η ανάγκη της παρούσας στιγμής είναι ισχυρότερη από τη μέλλουσα.</w:t>
            </w:r>
          </w:p>
          <w:p w14:paraId="43105F8A" w14:textId="77777777" w:rsidR="00D339BF" w:rsidRDefault="00D9309C">
            <w:pPr>
              <w:rPr>
                <w:szCs w:val="24"/>
              </w:rPr>
            </w:pPr>
            <w:r>
              <w:rPr>
                <w:b/>
                <w:bCs/>
                <w:szCs w:val="24"/>
              </w:rPr>
              <w:t>Μτφρ. Νίκη Δενδρινού. 1939.</w:t>
            </w:r>
          </w:p>
        </w:tc>
      </w:tr>
    </w:tbl>
    <w:p w14:paraId="0C85055E" w14:textId="77777777" w:rsidR="00D339BF" w:rsidRDefault="00D9309C">
      <w:pPr>
        <w:rPr>
          <w:b/>
          <w:bCs/>
        </w:rPr>
      </w:pPr>
      <w:r>
        <w:rPr>
          <w:b/>
          <w:bCs/>
        </w:rPr>
        <w:lastRenderedPageBreak/>
        <w:t>Γ4.</w:t>
      </w:r>
    </w:p>
    <w:p w14:paraId="662BB17A" w14:textId="77777777" w:rsidR="00D339BF" w:rsidRDefault="00D9309C">
      <w:pPr>
        <w:rPr>
          <w:rFonts w:cstheme="minorHAnsi"/>
          <w:b/>
          <w:bCs/>
        </w:rPr>
      </w:pPr>
      <w:bookmarkStart w:id="0" w:name="_Hlk85960905"/>
      <w:r>
        <w:rPr>
          <w:rFonts w:cstheme="minorHAnsi"/>
          <w:b/>
          <w:bCs/>
        </w:rPr>
        <w:t>α.</w:t>
      </w:r>
    </w:p>
    <w:p w14:paraId="3544765A" w14:textId="663F26FF" w:rsidR="00D339BF" w:rsidRDefault="00D9309C">
      <w:pPr>
        <w:rPr>
          <w:i/>
          <w:iCs/>
        </w:rPr>
      </w:pPr>
      <w:r>
        <w:rPr>
          <w:rFonts w:cstheme="minorHAnsi"/>
          <w:b/>
          <w:bCs/>
          <w:i/>
          <w:iCs/>
        </w:rPr>
        <w:t>παντ</w:t>
      </w:r>
      <w:r w:rsidR="00DA70AA">
        <w:rPr>
          <w:rFonts w:cstheme="minorHAnsi"/>
          <w:b/>
          <w:bCs/>
          <w:i/>
          <w:iCs/>
        </w:rPr>
        <w:t>ί</w:t>
      </w:r>
      <w:r>
        <w:rPr>
          <w:rFonts w:cstheme="minorHAnsi"/>
        </w:rPr>
        <w:t xml:space="preserve">: </w:t>
      </w:r>
      <w:r>
        <w:t xml:space="preserve">είναι ομοιόπτωτος  προσδιορισμός (κατηγορηματικός) στο </w:t>
      </w:r>
      <w:r>
        <w:rPr>
          <w:i/>
          <w:iCs/>
        </w:rPr>
        <w:t>τῷ χρόνῳ</w:t>
      </w:r>
      <w:r w:rsidRPr="004D2C0A">
        <w:rPr>
          <w:iCs/>
        </w:rPr>
        <w:t>.</w:t>
      </w:r>
    </w:p>
    <w:p w14:paraId="1E7D3D27" w14:textId="45DED177" w:rsidR="00D339BF" w:rsidRPr="004D2C0A" w:rsidRDefault="00D9309C">
      <w:r>
        <w:rPr>
          <w:rFonts w:cstheme="minorHAnsi"/>
          <w:b/>
          <w:bCs/>
          <w:i/>
          <w:iCs/>
        </w:rPr>
        <w:lastRenderedPageBreak/>
        <w:t>εἰδότες</w:t>
      </w:r>
      <w:r>
        <w:rPr>
          <w:rFonts w:cstheme="minorHAnsi"/>
        </w:rPr>
        <w:t xml:space="preserve">: </w:t>
      </w:r>
      <w:r>
        <w:t>είναι επιρρηματική αιτιολογική μετοχή (συνημμένη</w:t>
      </w:r>
      <w:r w:rsidR="00297CC4" w:rsidRPr="00297CC4">
        <w:t xml:space="preserve"> </w:t>
      </w:r>
      <w:r w:rsidR="00297CC4">
        <w:t>στο υποκείμενο</w:t>
      </w:r>
      <w:r>
        <w:t>)</w:t>
      </w:r>
      <w:r w:rsidR="00297CC4">
        <w:t>,</w:t>
      </w:r>
      <w:r>
        <w:t xml:space="preserve"> επιρρηματικός προσδιορισμός της αιτίας στ</w:t>
      </w:r>
      <w:r w:rsidR="00297CC4">
        <w:t>ο ρ</w:t>
      </w:r>
      <w:r w:rsidR="00CD0AA4">
        <w:t>ήμα</w:t>
      </w:r>
      <w:r w:rsidRPr="00AB277D">
        <w:t xml:space="preserve"> </w:t>
      </w:r>
      <w:r w:rsidRPr="00AB277D">
        <w:rPr>
          <w:i/>
          <w:iCs/>
        </w:rPr>
        <w:t>ἠθέλησαν</w:t>
      </w:r>
      <w:r w:rsidRPr="004D2C0A">
        <w:rPr>
          <w:iCs/>
        </w:rPr>
        <w:t>.</w:t>
      </w:r>
    </w:p>
    <w:p w14:paraId="459FCE92" w14:textId="5EA07C8E" w:rsidR="00D339BF" w:rsidRDefault="00D9309C">
      <w:pPr>
        <w:ind w:left="357" w:hanging="357"/>
        <w:rPr>
          <w:rFonts w:cstheme="minorHAnsi"/>
          <w:b/>
          <w:bCs/>
          <w:i/>
          <w:iCs/>
        </w:rPr>
      </w:pPr>
      <w:r>
        <w:rPr>
          <w:b/>
          <w:bCs/>
          <w:i/>
          <w:iCs/>
          <w:szCs w:val="24"/>
        </w:rPr>
        <w:t>ἰσχυρόταται</w:t>
      </w:r>
      <w:r>
        <w:rPr>
          <w:rFonts w:cstheme="minorHAnsi"/>
        </w:rPr>
        <w:t xml:space="preserve">: </w:t>
      </w:r>
      <w:r>
        <w:t xml:space="preserve">είναι κατηγορούμενο στο υποκείμενο </w:t>
      </w:r>
      <w:r>
        <w:rPr>
          <w:i/>
          <w:iCs/>
        </w:rPr>
        <w:t>αἱ ἀνάγκαι</w:t>
      </w:r>
      <w:r>
        <w:t xml:space="preserve"> </w:t>
      </w:r>
      <w:r w:rsidR="000A1AB9">
        <w:t>(</w:t>
      </w:r>
      <w:r>
        <w:t>από το ρήμα</w:t>
      </w:r>
      <w:r>
        <w:rPr>
          <w:i/>
          <w:iCs/>
        </w:rPr>
        <w:t xml:space="preserve"> εἰσι</w:t>
      </w:r>
      <w:r w:rsidR="000A1AB9">
        <w:t>)</w:t>
      </w:r>
      <w:r w:rsidRPr="004D2C0A">
        <w:rPr>
          <w:iCs/>
        </w:rPr>
        <w:t xml:space="preserve">. </w:t>
      </w:r>
    </w:p>
    <w:p w14:paraId="1EC482DE" w14:textId="7F1B95BA" w:rsidR="00D339BF" w:rsidRPr="004D2C0A" w:rsidRDefault="00D9309C">
      <w:r>
        <w:rPr>
          <w:b/>
          <w:bCs/>
          <w:i/>
          <w:iCs/>
          <w:szCs w:val="24"/>
        </w:rPr>
        <w:t>ἀναγκάζειν</w:t>
      </w:r>
      <w:r>
        <w:rPr>
          <w:rFonts w:cstheme="minorHAnsi"/>
        </w:rPr>
        <w:t xml:space="preserve">: </w:t>
      </w:r>
      <w:r>
        <w:t xml:space="preserve">είναι υποκείμενο στο απρόσωπο ρήμα </w:t>
      </w:r>
      <w:r>
        <w:rPr>
          <w:i/>
          <w:iCs/>
        </w:rPr>
        <w:t>ἐξείη</w:t>
      </w:r>
      <w:r w:rsidR="000A1AB9">
        <w:t xml:space="preserve"> (τελικό απαρέμφατο)</w:t>
      </w:r>
      <w:r w:rsidRPr="004D2C0A">
        <w:t>.</w:t>
      </w:r>
    </w:p>
    <w:p w14:paraId="73DD5197" w14:textId="60134F80" w:rsidR="00D339BF" w:rsidRDefault="00D9309C">
      <w:r>
        <w:rPr>
          <w:b/>
          <w:bCs/>
          <w:i/>
          <w:iCs/>
          <w:szCs w:val="24"/>
        </w:rPr>
        <w:t>τἀληθῆ</w:t>
      </w:r>
      <w:r w:rsidRPr="00AB277D">
        <w:rPr>
          <w:szCs w:val="24"/>
        </w:rPr>
        <w:t>:</w:t>
      </w:r>
      <w:r>
        <w:rPr>
          <w:szCs w:val="24"/>
        </w:rPr>
        <w:t xml:space="preserve"> </w:t>
      </w:r>
      <w:r>
        <w:t xml:space="preserve">είναι σύστοιχο αντικείμενο στο απαρέμφατο </w:t>
      </w:r>
      <w:r>
        <w:rPr>
          <w:i/>
          <w:iCs/>
        </w:rPr>
        <w:t>λέγειν</w:t>
      </w:r>
      <w:r>
        <w:t>.</w:t>
      </w:r>
    </w:p>
    <w:p w14:paraId="0C9010FC" w14:textId="617B6A0C" w:rsidR="00D339BF" w:rsidRPr="004D2C0A" w:rsidRDefault="00D9309C">
      <w:pPr>
        <w:rPr>
          <w:iCs/>
        </w:rPr>
      </w:pPr>
      <w:r>
        <w:rPr>
          <w:b/>
          <w:bCs/>
          <w:i/>
          <w:iCs/>
          <w:szCs w:val="24"/>
        </w:rPr>
        <w:t>τῆς μελλούσης</w:t>
      </w:r>
      <w:r>
        <w:rPr>
          <w:rFonts w:cstheme="minorHAnsi"/>
        </w:rPr>
        <w:t xml:space="preserve">: </w:t>
      </w:r>
      <w:r>
        <w:t xml:space="preserve">είναι </w:t>
      </w:r>
      <w:r w:rsidR="000A1AB9">
        <w:t>(</w:t>
      </w:r>
      <w:r>
        <w:t>επιθετική μετοχή ως</w:t>
      </w:r>
      <w:r w:rsidR="000A1AB9">
        <w:t>)</w:t>
      </w:r>
      <w:r>
        <w:t xml:space="preserve"> </w:t>
      </w:r>
      <w:r w:rsidR="00DA70AA">
        <w:t xml:space="preserve">ετερόπτωτος ονοματικός προσδιορισμός  </w:t>
      </w:r>
      <w:r>
        <w:t xml:space="preserve">(γενική συγκριτική) </w:t>
      </w:r>
      <w:r w:rsidR="00DA70AA">
        <w:t>σ</w:t>
      </w:r>
      <w:r>
        <w:t xml:space="preserve">το </w:t>
      </w:r>
      <w:r>
        <w:rPr>
          <w:i/>
          <w:iCs/>
        </w:rPr>
        <w:t>ἰσχυροτέρα</w:t>
      </w:r>
      <w:r w:rsidRPr="004D2C0A">
        <w:rPr>
          <w:iCs/>
        </w:rPr>
        <w:t>.</w:t>
      </w:r>
      <w:bookmarkEnd w:id="0"/>
    </w:p>
    <w:p w14:paraId="6262DA47" w14:textId="77777777" w:rsidR="004F0F36" w:rsidRDefault="00D9309C">
      <w:pPr>
        <w:rPr>
          <w:b/>
          <w:bCs/>
        </w:rPr>
      </w:pPr>
      <w:r>
        <w:rPr>
          <w:b/>
          <w:bCs/>
        </w:rPr>
        <w:t>β.</w:t>
      </w:r>
      <w:r w:rsidR="004F0F36">
        <w:rPr>
          <w:b/>
          <w:bCs/>
        </w:rPr>
        <w:t xml:space="preserve"> </w:t>
      </w:r>
    </w:p>
    <w:p w14:paraId="0DE8423B" w14:textId="5F4B5771" w:rsidR="00D339BF" w:rsidRPr="002A5EE2" w:rsidRDefault="00495A25">
      <w:pPr>
        <w:rPr>
          <w:strike/>
          <w:szCs w:val="24"/>
        </w:rPr>
      </w:pPr>
      <w:r w:rsidRPr="00CB7957">
        <w:rPr>
          <w:iCs/>
          <w:szCs w:val="24"/>
        </w:rPr>
        <w:t>«</w:t>
      </w:r>
      <w:r w:rsidRPr="00CB7957">
        <w:rPr>
          <w:b/>
          <w:i/>
          <w:iCs/>
          <w:szCs w:val="24"/>
        </w:rPr>
        <w:t>ὅτι αἱ ἀνάγκαι αὗται ἰσχυρόταται καὶ μέγισταί εἰσι τῶν ἐν ἀνθρώποις</w:t>
      </w:r>
      <w:r w:rsidRPr="00CB7957">
        <w:rPr>
          <w:b/>
          <w:iCs/>
          <w:szCs w:val="24"/>
        </w:rPr>
        <w:t>»:</w:t>
      </w:r>
      <w:r w:rsidRPr="00CB7957">
        <w:rPr>
          <w:rFonts w:cstheme="minorHAnsi"/>
          <w:iCs/>
        </w:rPr>
        <w:t xml:space="preserve"> </w:t>
      </w:r>
      <w:r w:rsidRPr="00CB7957">
        <w:rPr>
          <w:szCs w:val="24"/>
        </w:rPr>
        <w:t xml:space="preserve">δευτερεύουσα ονοματική ειδική πρόταση, εισάγεται με τον ειδικό σύνδεσμο </w:t>
      </w:r>
      <w:r w:rsidRPr="00623296">
        <w:rPr>
          <w:i/>
          <w:iCs/>
          <w:szCs w:val="24"/>
        </w:rPr>
        <w:t>ὅτι</w:t>
      </w:r>
      <w:r w:rsidR="00D82447" w:rsidRPr="00CB7957">
        <w:rPr>
          <w:szCs w:val="24"/>
        </w:rPr>
        <w:t xml:space="preserve">, </w:t>
      </w:r>
      <w:r w:rsidR="00425349" w:rsidRPr="00CB7957">
        <w:rPr>
          <w:rFonts w:cstheme="minorHAnsi"/>
          <w:iCs/>
        </w:rPr>
        <w:t>εκφέρεται με οριστική</w:t>
      </w:r>
      <w:r w:rsidR="00792390" w:rsidRPr="00CB7957">
        <w:rPr>
          <w:rFonts w:cstheme="minorHAnsi"/>
          <w:iCs/>
        </w:rPr>
        <w:t xml:space="preserve"> </w:t>
      </w:r>
      <w:r w:rsidR="00D82447" w:rsidRPr="00CB7957">
        <w:rPr>
          <w:rFonts w:cstheme="minorHAnsi"/>
          <w:iCs/>
        </w:rPr>
        <w:t xml:space="preserve">που δηλώνει το πραγματικό </w:t>
      </w:r>
      <w:r w:rsidR="00792390" w:rsidRPr="00CB7957">
        <w:rPr>
          <w:rFonts w:cstheme="minorHAnsi"/>
          <w:iCs/>
        </w:rPr>
        <w:t xml:space="preserve">και λειτουργεί ως αντικείμενο στο ρήμα </w:t>
      </w:r>
      <w:r w:rsidR="00792390" w:rsidRPr="00CB7957">
        <w:rPr>
          <w:b/>
          <w:i/>
          <w:iCs/>
          <w:szCs w:val="24"/>
        </w:rPr>
        <w:t>Ἐπίστασθε</w:t>
      </w:r>
      <w:r w:rsidR="002A5EE2" w:rsidRPr="002A5EE2">
        <w:rPr>
          <w:iCs/>
          <w:szCs w:val="24"/>
        </w:rPr>
        <w:t>.</w:t>
      </w:r>
    </w:p>
    <w:p w14:paraId="22418B21" w14:textId="77777777" w:rsidR="00D339BF" w:rsidRDefault="00D339BF">
      <w:pPr>
        <w:rPr>
          <w:b/>
          <w:bCs/>
        </w:rPr>
      </w:pPr>
    </w:p>
    <w:p w14:paraId="47834595" w14:textId="77777777" w:rsidR="00D339BF" w:rsidRDefault="00D339BF">
      <w:pPr>
        <w:jc w:val="left"/>
        <w:rPr>
          <w:b/>
          <w:bCs/>
        </w:rPr>
      </w:pPr>
    </w:p>
    <w:p w14:paraId="121141BE" w14:textId="77777777" w:rsidR="00D339BF" w:rsidRDefault="00D339BF">
      <w:pPr>
        <w:pStyle w:val="a8"/>
        <w:spacing w:after="0" w:line="360" w:lineRule="auto"/>
        <w:ind w:left="0"/>
        <w:jc w:val="both"/>
        <w:rPr>
          <w:sz w:val="24"/>
          <w:szCs w:val="24"/>
        </w:rPr>
      </w:pPr>
    </w:p>
    <w:p w14:paraId="3B13DCFB" w14:textId="77777777" w:rsidR="00D339BF" w:rsidRDefault="00D339BF">
      <w:pPr>
        <w:jc w:val="center"/>
        <w:rPr>
          <w:b/>
          <w:bCs/>
        </w:rPr>
      </w:pPr>
    </w:p>
    <w:p w14:paraId="0411638D" w14:textId="77777777" w:rsidR="00D339BF" w:rsidRDefault="00D339BF">
      <w:pPr>
        <w:rPr>
          <w:szCs w:val="24"/>
        </w:rPr>
      </w:pPr>
    </w:p>
    <w:sectPr w:rsidR="00D339B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93F76" w14:textId="77777777" w:rsidR="002C60C6" w:rsidRDefault="002C60C6">
      <w:pPr>
        <w:spacing w:line="240" w:lineRule="auto"/>
      </w:pPr>
      <w:r>
        <w:separator/>
      </w:r>
    </w:p>
  </w:endnote>
  <w:endnote w:type="continuationSeparator" w:id="0">
    <w:p w14:paraId="18EA49B4" w14:textId="77777777" w:rsidR="002C60C6" w:rsidRDefault="002C60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2EDD" w14:textId="77777777" w:rsidR="002C60C6" w:rsidRDefault="002C60C6">
      <w:r>
        <w:separator/>
      </w:r>
    </w:p>
  </w:footnote>
  <w:footnote w:type="continuationSeparator" w:id="0">
    <w:p w14:paraId="76D8951B" w14:textId="77777777" w:rsidR="002C60C6" w:rsidRDefault="002C60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92A"/>
    <w:rsid w:val="0006085F"/>
    <w:rsid w:val="00060A11"/>
    <w:rsid w:val="000938FB"/>
    <w:rsid w:val="000A1AB9"/>
    <w:rsid w:val="0015130A"/>
    <w:rsid w:val="0015640A"/>
    <w:rsid w:val="001B53A6"/>
    <w:rsid w:val="001D4D56"/>
    <w:rsid w:val="00246CCD"/>
    <w:rsid w:val="00253942"/>
    <w:rsid w:val="002564E8"/>
    <w:rsid w:val="00257AF0"/>
    <w:rsid w:val="002825E8"/>
    <w:rsid w:val="00297CC4"/>
    <w:rsid w:val="002A5EE2"/>
    <w:rsid w:val="002C60C6"/>
    <w:rsid w:val="002D2237"/>
    <w:rsid w:val="00330CBA"/>
    <w:rsid w:val="00350F87"/>
    <w:rsid w:val="00381DD5"/>
    <w:rsid w:val="0039583B"/>
    <w:rsid w:val="00397E61"/>
    <w:rsid w:val="003E6F60"/>
    <w:rsid w:val="004116DC"/>
    <w:rsid w:val="004124ED"/>
    <w:rsid w:val="00425349"/>
    <w:rsid w:val="00437A77"/>
    <w:rsid w:val="00455CB8"/>
    <w:rsid w:val="00457D16"/>
    <w:rsid w:val="00492EBC"/>
    <w:rsid w:val="00495A25"/>
    <w:rsid w:val="004A4E9E"/>
    <w:rsid w:val="004D2C0A"/>
    <w:rsid w:val="004E2011"/>
    <w:rsid w:val="004F0F36"/>
    <w:rsid w:val="005C2D6E"/>
    <w:rsid w:val="005C4AC5"/>
    <w:rsid w:val="005D19CD"/>
    <w:rsid w:val="005D5900"/>
    <w:rsid w:val="005E1DF1"/>
    <w:rsid w:val="00623296"/>
    <w:rsid w:val="006464E3"/>
    <w:rsid w:val="006823CD"/>
    <w:rsid w:val="006E2167"/>
    <w:rsid w:val="006F2B95"/>
    <w:rsid w:val="00740779"/>
    <w:rsid w:val="00767469"/>
    <w:rsid w:val="0078493A"/>
    <w:rsid w:val="00792390"/>
    <w:rsid w:val="00794C14"/>
    <w:rsid w:val="007E12B6"/>
    <w:rsid w:val="00860AE8"/>
    <w:rsid w:val="00881D27"/>
    <w:rsid w:val="008C3267"/>
    <w:rsid w:val="008E2A01"/>
    <w:rsid w:val="00906510"/>
    <w:rsid w:val="009258CC"/>
    <w:rsid w:val="00925AEF"/>
    <w:rsid w:val="009345AF"/>
    <w:rsid w:val="00942099"/>
    <w:rsid w:val="00945B08"/>
    <w:rsid w:val="00964EE1"/>
    <w:rsid w:val="0096694A"/>
    <w:rsid w:val="00991434"/>
    <w:rsid w:val="009E7A78"/>
    <w:rsid w:val="00A16B56"/>
    <w:rsid w:val="00A50007"/>
    <w:rsid w:val="00A502DA"/>
    <w:rsid w:val="00A6621C"/>
    <w:rsid w:val="00A77508"/>
    <w:rsid w:val="00A81E2C"/>
    <w:rsid w:val="00A836B2"/>
    <w:rsid w:val="00A86025"/>
    <w:rsid w:val="00A86D35"/>
    <w:rsid w:val="00AB277D"/>
    <w:rsid w:val="00AC6C08"/>
    <w:rsid w:val="00AF3D33"/>
    <w:rsid w:val="00B00546"/>
    <w:rsid w:val="00B87F8E"/>
    <w:rsid w:val="00BB74AA"/>
    <w:rsid w:val="00BE74BA"/>
    <w:rsid w:val="00C20FFE"/>
    <w:rsid w:val="00C74EBB"/>
    <w:rsid w:val="00CA2DDA"/>
    <w:rsid w:val="00CA5B84"/>
    <w:rsid w:val="00CB7957"/>
    <w:rsid w:val="00CD0AA4"/>
    <w:rsid w:val="00CF6EAA"/>
    <w:rsid w:val="00D339BF"/>
    <w:rsid w:val="00D82447"/>
    <w:rsid w:val="00D9309C"/>
    <w:rsid w:val="00DA70AA"/>
    <w:rsid w:val="00DD1388"/>
    <w:rsid w:val="00DE275F"/>
    <w:rsid w:val="00DF4503"/>
    <w:rsid w:val="00DF79F7"/>
    <w:rsid w:val="00E020BD"/>
    <w:rsid w:val="00E037DC"/>
    <w:rsid w:val="00E11EC9"/>
    <w:rsid w:val="00E623B1"/>
    <w:rsid w:val="00E806B4"/>
    <w:rsid w:val="00ED2EDA"/>
    <w:rsid w:val="00EE71A7"/>
    <w:rsid w:val="00F12F40"/>
    <w:rsid w:val="00F2392A"/>
    <w:rsid w:val="00FB6DDC"/>
    <w:rsid w:val="00FC76B2"/>
    <w:rsid w:val="2EE04223"/>
    <w:rsid w:val="40CC5C7C"/>
    <w:rsid w:val="614B0829"/>
    <w:rsid w:val="66EF24D4"/>
    <w:rsid w:val="683A6C35"/>
    <w:rsid w:val="74A610EB"/>
    <w:rsid w:val="77A63CFC"/>
    <w:rsid w:val="7C0E4D91"/>
    <w:rsid w:val="7F5973BF"/>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BBA37"/>
  <w15:docId w15:val="{CFFF2D22-D36B-45C7-8F71-F2AD96770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360" w:lineRule="auto"/>
      <w:jc w:val="both"/>
    </w:pPr>
    <w:rPr>
      <w:rFonts w:asciiTheme="minorHAnsi" w:eastAsiaTheme="minorHAnsi" w:hAnsiTheme="minorHAnsi" w:cstheme="minorBidi"/>
      <w:sz w:val="24"/>
      <w:szCs w:val="22"/>
      <w:lang w:val="el-G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pPr>
      <w:spacing w:line="240" w:lineRule="auto"/>
    </w:pPr>
    <w:rPr>
      <w:rFonts w:ascii="Tahoma" w:hAnsi="Tahoma" w:cs="Tahoma"/>
      <w:sz w:val="16"/>
      <w:szCs w:val="16"/>
    </w:rPr>
  </w:style>
  <w:style w:type="character" w:styleId="a4">
    <w:name w:val="annotation reference"/>
    <w:basedOn w:val="a0"/>
    <w:uiPriority w:val="99"/>
    <w:semiHidden/>
    <w:unhideWhenUsed/>
    <w:qFormat/>
    <w:rPr>
      <w:sz w:val="16"/>
      <w:szCs w:val="16"/>
    </w:rPr>
  </w:style>
  <w:style w:type="paragraph" w:styleId="a5">
    <w:name w:val="annotation text"/>
    <w:basedOn w:val="a"/>
    <w:link w:val="Char0"/>
    <w:uiPriority w:val="99"/>
    <w:semiHidden/>
    <w:unhideWhenUsed/>
    <w:qFormat/>
    <w:pPr>
      <w:spacing w:line="240" w:lineRule="auto"/>
    </w:pPr>
    <w:rPr>
      <w:sz w:val="20"/>
      <w:szCs w:val="20"/>
    </w:rPr>
  </w:style>
  <w:style w:type="paragraph" w:styleId="a6">
    <w:name w:val="annotation subject"/>
    <w:basedOn w:val="a5"/>
    <w:next w:val="a5"/>
    <w:link w:val="Char1"/>
    <w:uiPriority w:val="99"/>
    <w:semiHidden/>
    <w:unhideWhenUsed/>
    <w:qFormat/>
    <w:rPr>
      <w:b/>
      <w:bCs/>
    </w:rPr>
  </w:style>
  <w:style w:type="paragraph" w:styleId="Web">
    <w:name w:val="Normal (Web)"/>
    <w:basedOn w:val="a"/>
    <w:uiPriority w:val="99"/>
    <w:semiHidden/>
    <w:unhideWhenUsed/>
    <w:qFormat/>
    <w:rPr>
      <w:szCs w:val="24"/>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spacing w:after="200" w:line="276" w:lineRule="auto"/>
      <w:ind w:left="720"/>
      <w:contextualSpacing/>
      <w:jc w:val="left"/>
    </w:pPr>
    <w:rPr>
      <w:rFonts w:ascii="Calibri" w:eastAsia="Times New Roman" w:hAnsi="Calibri" w:cs="Times New Roman"/>
      <w:sz w:val="22"/>
    </w:rPr>
  </w:style>
  <w:style w:type="character" w:customStyle="1" w:styleId="Char0">
    <w:name w:val="Κείμενο σχολίου Char"/>
    <w:basedOn w:val="a0"/>
    <w:link w:val="a5"/>
    <w:uiPriority w:val="99"/>
    <w:semiHidden/>
    <w:qFormat/>
    <w:rPr>
      <w:sz w:val="20"/>
      <w:szCs w:val="20"/>
    </w:rPr>
  </w:style>
  <w:style w:type="character" w:customStyle="1" w:styleId="Char1">
    <w:name w:val="Θέμα σχολίου Char"/>
    <w:basedOn w:val="Char0"/>
    <w:link w:val="a6"/>
    <w:uiPriority w:val="99"/>
    <w:semiHidden/>
    <w:qFormat/>
    <w:rPr>
      <w:b/>
      <w:bCs/>
      <w:sz w:val="20"/>
      <w:szCs w:val="20"/>
    </w:rPr>
  </w:style>
  <w:style w:type="character" w:customStyle="1" w:styleId="Char">
    <w:name w:val="Κείμενο πλαισίου Char"/>
    <w:basedOn w:val="a0"/>
    <w:link w:val="a3"/>
    <w:uiPriority w:val="99"/>
    <w:semiHidden/>
    <w:qFormat/>
    <w:rPr>
      <w:rFonts w:ascii="Tahoma" w:hAnsi="Tahoma" w:cs="Tahoma"/>
      <w:sz w:val="16"/>
      <w:szCs w:val="16"/>
    </w:rPr>
  </w:style>
  <w:style w:type="paragraph" w:customStyle="1" w:styleId="paragraph">
    <w:name w:val="paragraph"/>
    <w:basedOn w:val="a"/>
    <w:qFormat/>
    <w:pPr>
      <w:spacing w:before="100" w:beforeAutospacing="1" w:after="100" w:afterAutospacing="1" w:line="240" w:lineRule="auto"/>
      <w:jc w:val="left"/>
    </w:pPr>
    <w:rPr>
      <w:rFonts w:ascii="Times New Roman" w:eastAsia="Times New Roman" w:hAnsi="Times New Roman" w:cs="Times New Roman"/>
      <w:szCs w:val="24"/>
      <w:lang w:eastAsia="el-GR"/>
    </w:rPr>
  </w:style>
  <w:style w:type="character" w:customStyle="1" w:styleId="spellingerror">
    <w:name w:val="spellingerror"/>
    <w:basedOn w:val="a0"/>
    <w:qFormat/>
  </w:style>
  <w:style w:type="character" w:customStyle="1" w:styleId="normaltextrun">
    <w:name w:val="normaltextrun"/>
    <w:basedOn w:val="a0"/>
  </w:style>
  <w:style w:type="character" w:customStyle="1" w:styleId="eop">
    <w:name w:val="eop"/>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4029</Characters>
  <Application>Microsoft Office Word</Application>
  <DocSecurity>0</DocSecurity>
  <Lines>33</Lines>
  <Paragraphs>9</Paragraphs>
  <ScaleCrop>false</ScaleCrop>
  <HeadingPairs>
    <vt:vector size="4" baseType="variant">
      <vt:variant>
        <vt:lpstr>Τίτλος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ΙΩΑΝΝΗΣ ΠΑΝΑΓΙΩΤΗΣ ΑΜΠΕΛΑΣ</cp:lastModifiedBy>
  <cp:revision>2</cp:revision>
  <dcterms:created xsi:type="dcterms:W3CDTF">2022-03-10T15:55:00Z</dcterms:created>
  <dcterms:modified xsi:type="dcterms:W3CDTF">2022-03-10T15:55:00Z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1033-11.2.0.10447</vt:lpwstr>
  </property>
  <property fmtid="{D5CDD505-2E9C-101B-9397-08002B2CF9AE}" pid="3" name="ICV">
    <vt:lpwstr>0C9E1115F2EB4E6D8DD58302FF819A2C</vt:lpwstr>
  </property>
</Properties>
</file>