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3AC23" w14:textId="77777777" w:rsidR="0075669D" w:rsidRDefault="00BC399C" w:rsidP="00E73AE7">
      <w:pPr>
        <w:spacing w:line="360" w:lineRule="auto"/>
        <w:jc w:val="both"/>
        <w:rPr>
          <w:sz w:val="24"/>
          <w:szCs w:val="24"/>
          <w:lang w:val="en-US"/>
        </w:rPr>
      </w:pPr>
      <w:r w:rsidRPr="0079606E">
        <w:rPr>
          <w:sz w:val="24"/>
          <w:szCs w:val="24"/>
        </w:rPr>
        <w:t>ΛΥΣΗ</w:t>
      </w:r>
    </w:p>
    <w:p w14:paraId="206FA03F" w14:textId="77777777" w:rsidR="000E72F8" w:rsidRDefault="000E72F8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75634914" w14:textId="77777777" w:rsidR="001E5E7E" w:rsidRPr="00D1442E" w:rsidRDefault="00971D2B" w:rsidP="001E5E7E">
      <w:pPr>
        <w:spacing w:line="360" w:lineRule="auto"/>
        <w:jc w:val="center"/>
        <w:rPr>
          <w:sz w:val="24"/>
          <w:szCs w:val="24"/>
        </w:rPr>
      </w:pPr>
      <w:r w:rsidRPr="00D1442E">
        <w:rPr>
          <w:noProof/>
          <w:sz w:val="24"/>
          <w:szCs w:val="24"/>
          <w:lang w:eastAsia="el-GR"/>
        </w:rPr>
        <w:drawing>
          <wp:inline distT="0" distB="0" distL="0" distR="0" wp14:anchorId="32F7D623" wp14:editId="5B6E626A">
            <wp:extent cx="2840400" cy="25596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00" cy="25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78D4E" w14:textId="0B63F8ED" w:rsidR="00D1442E" w:rsidRPr="00E15798" w:rsidRDefault="0079606E" w:rsidP="00D1442E">
      <w:pPr>
        <w:tabs>
          <w:tab w:val="left" w:pos="6946"/>
          <w:tab w:val="left" w:pos="7655"/>
        </w:tabs>
        <w:spacing w:line="360" w:lineRule="auto"/>
        <w:jc w:val="both"/>
        <w:rPr>
          <w:sz w:val="32"/>
          <w:szCs w:val="32"/>
        </w:rPr>
      </w:pPr>
      <w:r w:rsidRPr="00D1442E">
        <w:rPr>
          <w:rFonts w:asciiTheme="minorHAnsi" w:hAnsiTheme="minorHAnsi"/>
          <w:sz w:val="24"/>
          <w:szCs w:val="24"/>
        </w:rPr>
        <w:t xml:space="preserve">Τα τρίγωνα ΑΔΕ και ΔΕΒ έχουν </w:t>
      </w:r>
      <w:r w:rsidR="00D1442E" w:rsidRPr="00D1442E">
        <w:rPr>
          <w:rFonts w:asciiTheme="minorHAnsi" w:hAnsiTheme="minorHAnsi"/>
          <w:sz w:val="24"/>
          <w:szCs w:val="24"/>
        </w:rPr>
        <w:t xml:space="preserve">τις γωνίες τους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1442E" w:rsidRPr="00D1442E">
        <w:rPr>
          <w:rFonts w:asciiTheme="minorHAnsi" w:hAnsiTheme="minorHAnsi"/>
          <w:sz w:val="24"/>
          <w:szCs w:val="24"/>
          <w:vertAlign w:val="subscript"/>
        </w:rPr>
        <w:t>1</w:t>
      </w:r>
      <w:r w:rsidR="00D1442E" w:rsidRPr="00D1442E">
        <w:rPr>
          <w:rFonts w:asciiTheme="minorHAnsi" w:hAnsiTheme="minorHAnsi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1442E" w:rsidRPr="00D1442E">
        <w:rPr>
          <w:rFonts w:asciiTheme="minorHAnsi" w:hAnsiTheme="minorHAnsi"/>
          <w:sz w:val="24"/>
          <w:szCs w:val="24"/>
          <w:vertAlign w:val="subscript"/>
        </w:rPr>
        <w:t xml:space="preserve">2  </w:t>
      </w:r>
      <w:r w:rsidR="00D1442E" w:rsidRPr="00D1442E">
        <w:rPr>
          <w:rFonts w:asciiTheme="minorHAnsi" w:hAnsiTheme="minorHAnsi"/>
          <w:sz w:val="24"/>
          <w:szCs w:val="24"/>
        </w:rPr>
        <w:t xml:space="preserve">παραπληρωματικές όπως και τα τρίγωνα ΑΔΕ και ΔΕΓ έχουν παραπληρωματικές τις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D1442E" w:rsidRPr="00D1442E">
        <w:rPr>
          <w:rFonts w:asciiTheme="minorHAnsi" w:hAnsiTheme="minorHAnsi"/>
          <w:sz w:val="24"/>
          <w:szCs w:val="24"/>
          <w:vertAlign w:val="subscript"/>
        </w:rPr>
        <w:t>1</w:t>
      </w:r>
      <w:r w:rsidR="00D1442E" w:rsidRPr="00D1442E">
        <w:rPr>
          <w:rFonts w:asciiTheme="minorHAnsi" w:hAnsiTheme="minorHAnsi"/>
          <w:sz w:val="24"/>
          <w:szCs w:val="24"/>
        </w:rPr>
        <w:t xml:space="preserve"> 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D1442E" w:rsidRPr="00D1442E">
        <w:rPr>
          <w:rFonts w:asciiTheme="minorHAnsi" w:hAnsiTheme="minorHAnsi"/>
          <w:sz w:val="24"/>
          <w:szCs w:val="24"/>
          <w:vertAlign w:val="subscript"/>
        </w:rPr>
        <w:t>2</w:t>
      </w:r>
      <w:r w:rsidR="00D1442E" w:rsidRPr="00D1442E">
        <w:rPr>
          <w:rFonts w:asciiTheme="minorHAnsi" w:hAnsiTheme="minorHAnsi"/>
          <w:sz w:val="24"/>
          <w:szCs w:val="24"/>
        </w:rPr>
        <w:t xml:space="preserve"> . Άρα οι λόγοι των εμβ</w:t>
      </w:r>
      <w:r w:rsidR="00F838C6">
        <w:rPr>
          <w:rFonts w:asciiTheme="minorHAnsi" w:hAnsiTheme="minorHAnsi"/>
          <w:sz w:val="24"/>
          <w:szCs w:val="24"/>
        </w:rPr>
        <w:t>αδών τους θα είναι ίσοι με το</w:t>
      </w:r>
      <w:r w:rsidR="00F838C6" w:rsidRPr="00F838C6">
        <w:rPr>
          <w:rFonts w:asciiTheme="minorHAnsi" w:hAnsiTheme="minorHAnsi"/>
          <w:sz w:val="24"/>
          <w:szCs w:val="24"/>
        </w:rPr>
        <w:t xml:space="preserve"> </w:t>
      </w:r>
      <w:r w:rsidR="00F838C6">
        <w:rPr>
          <w:rFonts w:asciiTheme="minorHAnsi" w:hAnsiTheme="minorHAnsi"/>
          <w:sz w:val="24"/>
          <w:szCs w:val="24"/>
        </w:rPr>
        <w:t>λόγο</w:t>
      </w:r>
      <w:r w:rsidR="00D1442E" w:rsidRPr="00D1442E">
        <w:rPr>
          <w:rFonts w:asciiTheme="minorHAnsi" w:hAnsiTheme="minorHAnsi"/>
          <w:sz w:val="24"/>
          <w:szCs w:val="24"/>
        </w:rPr>
        <w:t xml:space="preserve"> των γινομένων των πλευρών</w:t>
      </w:r>
      <w:r w:rsidR="00D1442E" w:rsidRPr="00D1442E">
        <w:rPr>
          <w:sz w:val="24"/>
          <w:szCs w:val="24"/>
        </w:rPr>
        <w:t xml:space="preserve"> που περιέχουν τις γωνίες αυτές.</w:t>
      </w:r>
      <w:r w:rsidR="00D1442E">
        <w:rPr>
          <w:sz w:val="24"/>
          <w:szCs w:val="24"/>
        </w:rPr>
        <w:t xml:space="preserve"> </w:t>
      </w:r>
      <w:r w:rsidRPr="00D1442E">
        <w:rPr>
          <w:sz w:val="24"/>
          <w:szCs w:val="24"/>
        </w:rPr>
        <w:t>Δηλαδή</w:t>
      </w:r>
      <w:r w:rsidR="00D1442E" w:rsidRPr="00D1442E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(ΔΕΒ)</m:t>
            </m:r>
          </m:den>
        </m:f>
      </m:oMath>
      <w:r w:rsidR="00D1442E" w:rsidRPr="00D1442E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ΑΔ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w:sym w:font="Symbol" w:char="F0D7"/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ΔΒ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w:sym w:font="Symbol" w:char="F0D7"/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ΔΕ</m:t>
            </m:r>
          </m:den>
        </m:f>
      </m:oMath>
      <w:r w:rsidRPr="00D1442E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ΔΒ</m:t>
            </m:r>
          </m:den>
        </m:f>
      </m:oMath>
      <w:r w:rsidR="00D1442E" w:rsidRPr="00D1442E">
        <w:rPr>
          <w:sz w:val="32"/>
          <w:szCs w:val="32"/>
        </w:rPr>
        <w:t xml:space="preserve">  </w:t>
      </w:r>
      <w:r w:rsidR="00D1442E" w:rsidRPr="00D1442E">
        <w:rPr>
          <w:sz w:val="24"/>
          <w:szCs w:val="24"/>
        </w:rPr>
        <w:t>και</w:t>
      </w:r>
      <w:r w:rsidR="00D1442E" w:rsidRPr="00D1442E">
        <w:rPr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(ΔΕΓ)</m:t>
            </m:r>
          </m:den>
        </m:f>
      </m:oMath>
      <w:r w:rsidR="00D1442E" w:rsidRPr="00D1442E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ΑΕ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w:sym w:font="Symbol" w:char="F0D7"/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w:sym w:font="Symbol" w:char="F0D7"/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ΔΕ</m:t>
            </m:r>
          </m:den>
        </m:f>
      </m:oMath>
      <w:r w:rsidR="00D1442E" w:rsidRPr="00D1442E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 w:rsidR="00D1442E" w:rsidRPr="00D1442E">
        <w:rPr>
          <w:sz w:val="32"/>
          <w:szCs w:val="32"/>
        </w:rPr>
        <w:t xml:space="preserve"> . </w:t>
      </w:r>
    </w:p>
    <w:p w14:paraId="3FF4F215" w14:textId="77777777" w:rsidR="0079606E" w:rsidRDefault="001E5E7E" w:rsidP="00D1442E">
      <w:p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  <w:vertAlign w:val="subscript"/>
        </w:rPr>
      </w:pPr>
      <w:r w:rsidRPr="00D1442E">
        <w:rPr>
          <w:sz w:val="24"/>
          <w:szCs w:val="24"/>
        </w:rPr>
        <w:t>β</w:t>
      </w:r>
      <w:r w:rsidR="00567339" w:rsidRPr="00D1442E">
        <w:rPr>
          <w:sz w:val="24"/>
          <w:szCs w:val="24"/>
        </w:rPr>
        <w:t xml:space="preserve">) </w:t>
      </w:r>
      <w:r w:rsidR="000E72F8" w:rsidRPr="00D1442E">
        <w:rPr>
          <w:sz w:val="24"/>
          <w:szCs w:val="24"/>
        </w:rPr>
        <w:t xml:space="preserve">Το τμήμα ΔΕ είναι παράλληλο στην πλευρά ΒΓ του τριγώνου ΑΒΓ, οπότε εφαρμόζοντας το Θεώρημα του Θαλή, έχουμε ότι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ΔΒ</m:t>
            </m:r>
          </m:den>
        </m:f>
      </m:oMath>
      <w:r w:rsidR="0079606E" w:rsidRPr="00D1442E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 w:rsidR="0079606E" w:rsidRPr="00D1442E">
        <w:rPr>
          <w:sz w:val="24"/>
          <w:szCs w:val="24"/>
        </w:rPr>
        <w:t xml:space="preserve"> </w:t>
      </w:r>
      <w:r w:rsidR="000E72F8" w:rsidRPr="00D1442E">
        <w:rPr>
          <w:sz w:val="24"/>
          <w:szCs w:val="24"/>
        </w:rPr>
        <w:t>. Επομένως από το α) ερώτημα θα ισχύει ότι</w:t>
      </w:r>
      <w:r w:rsidR="000E72F8" w:rsidRPr="00D1442E">
        <w:rPr>
          <w:sz w:val="24"/>
          <w:szCs w:val="24"/>
        </w:rPr>
        <w:br/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(ΔΕΒ)</m:t>
            </m:r>
          </m:den>
        </m:f>
      </m:oMath>
      <w:r w:rsidR="00D1442E" w:rsidRPr="00D1442E">
        <w:rPr>
          <w:sz w:val="32"/>
          <w:szCs w:val="32"/>
        </w:rPr>
        <w:t xml:space="preserve"> </w:t>
      </w:r>
      <w:r w:rsidR="000E72F8" w:rsidRPr="00D1442E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(ΔΕΓ)</m:t>
            </m:r>
          </m:den>
        </m:f>
      </m:oMath>
      <w:r w:rsidR="000E72F8" w:rsidRPr="00D1442E">
        <w:rPr>
          <w:sz w:val="32"/>
          <w:szCs w:val="32"/>
        </w:rPr>
        <w:t xml:space="preserve"> , </w:t>
      </w:r>
      <w:r w:rsidR="000E72F8" w:rsidRPr="00D1442E">
        <w:rPr>
          <w:sz w:val="24"/>
          <w:szCs w:val="24"/>
        </w:rPr>
        <w:t>άρα</w:t>
      </w:r>
      <w:r w:rsidR="000E72F8" w:rsidRPr="00D1442E">
        <w:rPr>
          <w:sz w:val="32"/>
          <w:szCs w:val="32"/>
        </w:rPr>
        <w:t xml:space="preserve"> </w:t>
      </w:r>
      <w:r w:rsidR="00D1442E">
        <w:rPr>
          <w:sz w:val="24"/>
          <w:szCs w:val="24"/>
        </w:rPr>
        <w:t>(ΔΕΒ)</w:t>
      </w:r>
      <w:r w:rsidR="00D1442E" w:rsidRPr="005728C3">
        <w:rPr>
          <w:sz w:val="24"/>
          <w:szCs w:val="24"/>
          <w:vertAlign w:val="subscript"/>
        </w:rPr>
        <w:t xml:space="preserve"> </w:t>
      </w:r>
      <w:r w:rsidR="00D1442E" w:rsidRPr="005728C3">
        <w:rPr>
          <w:sz w:val="24"/>
          <w:szCs w:val="24"/>
        </w:rPr>
        <w:t xml:space="preserve">= </w:t>
      </w:r>
      <w:r w:rsidR="00D1442E">
        <w:rPr>
          <w:sz w:val="24"/>
          <w:szCs w:val="24"/>
        </w:rPr>
        <w:t>(ΔΕΓ)</w:t>
      </w:r>
      <w:r w:rsidR="000E72F8" w:rsidRPr="00D1442E">
        <w:rPr>
          <w:sz w:val="24"/>
          <w:szCs w:val="24"/>
        </w:rPr>
        <w:t>.</w:t>
      </w:r>
      <w:r w:rsidR="000E72F8" w:rsidRPr="00D1442E">
        <w:rPr>
          <w:sz w:val="24"/>
          <w:szCs w:val="24"/>
          <w:vertAlign w:val="subscript"/>
        </w:rPr>
        <w:t xml:space="preserve"> </w:t>
      </w:r>
    </w:p>
    <w:p w14:paraId="06D1DFD5" w14:textId="77777777" w:rsidR="000007CC" w:rsidRDefault="000007C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438F486" w14:textId="68119D71" w:rsidR="007E10A9" w:rsidRDefault="007E10A9" w:rsidP="007E10A9">
      <w:p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Εναλλακτική λύση:</w:t>
      </w:r>
    </w:p>
    <w:p w14:paraId="48099FC8" w14:textId="27C2540E" w:rsidR="007E10A9" w:rsidRDefault="000007CC" w:rsidP="007E10A9">
      <w:pPr>
        <w:tabs>
          <w:tab w:val="left" w:pos="6946"/>
          <w:tab w:val="left" w:pos="7655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D0CDC94" wp14:editId="3019C7C5">
            <wp:extent cx="3553200" cy="2818800"/>
            <wp:effectExtent l="0" t="0" r="9525" b="63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9319" w14:textId="29ECCFA3" w:rsidR="007E10A9" w:rsidRDefault="007E10A9" w:rsidP="007E10A9">
      <w:pPr>
        <w:tabs>
          <w:tab w:val="left" w:pos="6946"/>
          <w:tab w:val="left" w:pos="7655"/>
        </w:tabs>
        <w:spacing w:line="360" w:lineRule="auto"/>
        <w:jc w:val="both"/>
        <w:rPr>
          <w:sz w:val="32"/>
          <w:szCs w:val="32"/>
        </w:rPr>
      </w:pPr>
      <w:r>
        <w:rPr>
          <w:sz w:val="24"/>
          <w:szCs w:val="24"/>
        </w:rPr>
        <w:t>α) Τα τρίγωνα ΑΔΕ και ΔΕΒ έχουν το ίδιο ύψος από την κορυφή Ε, το τμήμα ΕΖ, επομένως ο λόγος των εμβαδών τους θα ισούται με το λόγο των πλευρών που αντιστοιχεί αυτό το ύψος. Δηλαδή</w:t>
      </w:r>
      <w:r w:rsidR="00DF376A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(ΔΕΒ)</m:t>
            </m:r>
          </m:den>
        </m:f>
      </m:oMath>
      <w:r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ΔΒ</m:t>
            </m:r>
          </m:den>
        </m:f>
      </m:oMath>
      <w:r>
        <w:rPr>
          <w:sz w:val="32"/>
          <w:szCs w:val="32"/>
        </w:rPr>
        <w:t xml:space="preserve"> . </w:t>
      </w:r>
      <w:r>
        <w:rPr>
          <w:sz w:val="24"/>
          <w:szCs w:val="24"/>
        </w:rPr>
        <w:t xml:space="preserve">Ομοίως τα τρίγωνα ΑΔΕ και ΔΕΓ έχουν το ίδιο ύψος από την κορυφή Δ, το τμήμα ΔΗ, επομένως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(ΔΕΓ)</m:t>
            </m:r>
          </m:den>
        </m:f>
      </m:oMath>
      <w:r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>
        <w:rPr>
          <w:sz w:val="32"/>
          <w:szCs w:val="32"/>
        </w:rPr>
        <w:t xml:space="preserve"> .</w:t>
      </w:r>
    </w:p>
    <w:p w14:paraId="55E8719A" w14:textId="6A05FBA8" w:rsidR="007E10A9" w:rsidRDefault="007E10A9" w:rsidP="007E10A9">
      <w:p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7E10A9">
        <w:rPr>
          <w:sz w:val="24"/>
          <w:szCs w:val="24"/>
        </w:rPr>
        <w:t xml:space="preserve">) </w:t>
      </w:r>
      <w:r w:rsidRPr="003A468F">
        <w:rPr>
          <w:sz w:val="24"/>
          <w:szCs w:val="24"/>
        </w:rPr>
        <w:t>Τα τρίγωνα ΔΕΒ και ΔΕΓ έχουν κοινή πλευρά τη ΔΕ και οι απέναντι κορυφές τους Β και Γ αντίστοιχα βρίσκονται στη ΒΓ, που είναι  παράλληλη στη ΔΕ.</w:t>
      </w:r>
      <w:r>
        <w:rPr>
          <w:sz w:val="24"/>
          <w:szCs w:val="24"/>
        </w:rPr>
        <w:t xml:space="preserve"> Δηλαδ</w:t>
      </w:r>
      <w:r w:rsidR="00E15798">
        <w:rPr>
          <w:sz w:val="24"/>
          <w:szCs w:val="24"/>
        </w:rPr>
        <w:t xml:space="preserve">ή, έχουν κοινή βάση και ίσα ύψη, τα ΒΘ και ΓΙ αντίστοιχα, </w:t>
      </w:r>
      <w:r>
        <w:rPr>
          <w:sz w:val="24"/>
          <w:szCs w:val="24"/>
        </w:rPr>
        <w:t xml:space="preserve">που είναι η απόσταση των παραλλήλων ΒΓ και ΔΕ. </w:t>
      </w:r>
      <w:r w:rsidRPr="003A468F">
        <w:rPr>
          <w:sz w:val="24"/>
          <w:szCs w:val="24"/>
        </w:rPr>
        <w:t xml:space="preserve"> Άρα είναι ισοδύναμα, δηλαδή</w:t>
      </w:r>
      <w:r>
        <w:rPr>
          <w:sz w:val="24"/>
          <w:szCs w:val="24"/>
        </w:rPr>
        <w:t xml:space="preserve"> (ΔΕΒ)</w:t>
      </w:r>
      <w:r w:rsidRPr="005728C3">
        <w:rPr>
          <w:sz w:val="24"/>
          <w:szCs w:val="24"/>
          <w:vertAlign w:val="subscript"/>
        </w:rPr>
        <w:t xml:space="preserve"> </w:t>
      </w:r>
      <w:r w:rsidRPr="005728C3">
        <w:rPr>
          <w:sz w:val="24"/>
          <w:szCs w:val="24"/>
        </w:rPr>
        <w:t xml:space="preserve">= </w:t>
      </w:r>
      <w:r>
        <w:rPr>
          <w:sz w:val="24"/>
          <w:szCs w:val="24"/>
        </w:rPr>
        <w:t>(ΔΕΓ)</w:t>
      </w:r>
      <w:r w:rsidRPr="00D1442E">
        <w:rPr>
          <w:sz w:val="24"/>
          <w:szCs w:val="24"/>
        </w:rPr>
        <w:t>.</w:t>
      </w:r>
    </w:p>
    <w:p w14:paraId="77023279" w14:textId="5C486507" w:rsidR="007E10A9" w:rsidRPr="007E10A9" w:rsidRDefault="007E10A9" w:rsidP="007E10A9">
      <w:p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63E8C776" w14:textId="77777777" w:rsidR="007E10A9" w:rsidRPr="007E10A9" w:rsidRDefault="007E10A9" w:rsidP="00D1442E">
      <w:p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</w:rPr>
      </w:pPr>
    </w:p>
    <w:sectPr w:rsidR="007E10A9" w:rsidRPr="007E10A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F9BC9E" w15:done="0"/>
  <w15:commentEx w15:paraId="7B9D080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F9BC9E" w16cid:durableId="25C76930"/>
  <w16cid:commentId w16cid:paraId="7B9D080E" w16cid:durableId="25C769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CEB51" w14:textId="77777777" w:rsidR="00E1327E" w:rsidRDefault="00E1327E" w:rsidP="005E6BE2">
      <w:r>
        <w:separator/>
      </w:r>
    </w:p>
  </w:endnote>
  <w:endnote w:type="continuationSeparator" w:id="0">
    <w:p w14:paraId="72680EF6" w14:textId="77777777" w:rsidR="00E1327E" w:rsidRDefault="00E1327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C091E" w14:textId="77777777" w:rsidR="00E1327E" w:rsidRDefault="00E1327E" w:rsidP="005E6BE2">
      <w:r>
        <w:separator/>
      </w:r>
    </w:p>
  </w:footnote>
  <w:footnote w:type="continuationSeparator" w:id="0">
    <w:p w14:paraId="1A56359D" w14:textId="77777777" w:rsidR="00E1327E" w:rsidRDefault="00E1327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D7D02"/>
    <w:multiLevelType w:val="hybridMultilevel"/>
    <w:tmpl w:val="18245CA2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897EFE"/>
    <w:multiLevelType w:val="hybridMultilevel"/>
    <w:tmpl w:val="396EB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1"/>
  </w:num>
  <w:num w:numId="5">
    <w:abstractNumId w:val="20"/>
  </w:num>
  <w:num w:numId="6">
    <w:abstractNumId w:val="2"/>
  </w:num>
  <w:num w:numId="7">
    <w:abstractNumId w:val="5"/>
  </w:num>
  <w:num w:numId="8">
    <w:abstractNumId w:val="21"/>
  </w:num>
  <w:num w:numId="9">
    <w:abstractNumId w:val="7"/>
  </w:num>
  <w:num w:numId="10">
    <w:abstractNumId w:val="0"/>
  </w:num>
  <w:num w:numId="11">
    <w:abstractNumId w:val="17"/>
  </w:num>
  <w:num w:numId="12">
    <w:abstractNumId w:val="9"/>
  </w:num>
  <w:num w:numId="13">
    <w:abstractNumId w:val="4"/>
  </w:num>
  <w:num w:numId="14">
    <w:abstractNumId w:val="15"/>
  </w:num>
  <w:num w:numId="15">
    <w:abstractNumId w:val="10"/>
  </w:num>
  <w:num w:numId="16">
    <w:abstractNumId w:val="18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07CC"/>
    <w:rsid w:val="000722F6"/>
    <w:rsid w:val="00091CEA"/>
    <w:rsid w:val="00094A65"/>
    <w:rsid w:val="000B1A50"/>
    <w:rsid w:val="000E72F8"/>
    <w:rsid w:val="000F26B8"/>
    <w:rsid w:val="000F353F"/>
    <w:rsid w:val="00105218"/>
    <w:rsid w:val="00190AC6"/>
    <w:rsid w:val="001D4CC1"/>
    <w:rsid w:val="001E1B90"/>
    <w:rsid w:val="001E5E7E"/>
    <w:rsid w:val="001E7E63"/>
    <w:rsid w:val="00223149"/>
    <w:rsid w:val="00223546"/>
    <w:rsid w:val="00267ED8"/>
    <w:rsid w:val="002707BF"/>
    <w:rsid w:val="00271801"/>
    <w:rsid w:val="00294637"/>
    <w:rsid w:val="002D59D4"/>
    <w:rsid w:val="002E1D2A"/>
    <w:rsid w:val="002E6AA5"/>
    <w:rsid w:val="00342201"/>
    <w:rsid w:val="00372A30"/>
    <w:rsid w:val="00376E2A"/>
    <w:rsid w:val="003A468F"/>
    <w:rsid w:val="003D0F31"/>
    <w:rsid w:val="00410440"/>
    <w:rsid w:val="00413967"/>
    <w:rsid w:val="00467F50"/>
    <w:rsid w:val="00471C94"/>
    <w:rsid w:val="004D0981"/>
    <w:rsid w:val="004E4E39"/>
    <w:rsid w:val="00505F8E"/>
    <w:rsid w:val="005175E0"/>
    <w:rsid w:val="00530880"/>
    <w:rsid w:val="0053566B"/>
    <w:rsid w:val="00544F95"/>
    <w:rsid w:val="00567339"/>
    <w:rsid w:val="00572722"/>
    <w:rsid w:val="0058764F"/>
    <w:rsid w:val="005A6D79"/>
    <w:rsid w:val="005C07DB"/>
    <w:rsid w:val="005C33E6"/>
    <w:rsid w:val="005E6BE2"/>
    <w:rsid w:val="005E71C0"/>
    <w:rsid w:val="006222BA"/>
    <w:rsid w:val="00631F43"/>
    <w:rsid w:val="006332F7"/>
    <w:rsid w:val="00643D3B"/>
    <w:rsid w:val="00675175"/>
    <w:rsid w:val="006941F7"/>
    <w:rsid w:val="006A1DFD"/>
    <w:rsid w:val="006B02D9"/>
    <w:rsid w:val="006D743A"/>
    <w:rsid w:val="006F22CA"/>
    <w:rsid w:val="006F2748"/>
    <w:rsid w:val="0070406A"/>
    <w:rsid w:val="00707DDB"/>
    <w:rsid w:val="00743D8A"/>
    <w:rsid w:val="007564CE"/>
    <w:rsid w:val="0075669D"/>
    <w:rsid w:val="0079606E"/>
    <w:rsid w:val="007B2B90"/>
    <w:rsid w:val="007B46CC"/>
    <w:rsid w:val="007D24CE"/>
    <w:rsid w:val="007E10A9"/>
    <w:rsid w:val="007E324D"/>
    <w:rsid w:val="008137DF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24243"/>
    <w:rsid w:val="009359F7"/>
    <w:rsid w:val="00970FB2"/>
    <w:rsid w:val="00971D2B"/>
    <w:rsid w:val="00990B49"/>
    <w:rsid w:val="009954C1"/>
    <w:rsid w:val="009A0C3D"/>
    <w:rsid w:val="009B0BA6"/>
    <w:rsid w:val="009B7786"/>
    <w:rsid w:val="009C39FA"/>
    <w:rsid w:val="009E633B"/>
    <w:rsid w:val="00A346D1"/>
    <w:rsid w:val="00A561EC"/>
    <w:rsid w:val="00A94071"/>
    <w:rsid w:val="00AA5C99"/>
    <w:rsid w:val="00AA5D11"/>
    <w:rsid w:val="00AA619F"/>
    <w:rsid w:val="00AC73EF"/>
    <w:rsid w:val="00AD12C3"/>
    <w:rsid w:val="00B0089C"/>
    <w:rsid w:val="00B60D42"/>
    <w:rsid w:val="00BA6564"/>
    <w:rsid w:val="00BB6C3A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A3825"/>
    <w:rsid w:val="00CB459E"/>
    <w:rsid w:val="00CC1B97"/>
    <w:rsid w:val="00CD1310"/>
    <w:rsid w:val="00CD1A57"/>
    <w:rsid w:val="00CF28F3"/>
    <w:rsid w:val="00D13767"/>
    <w:rsid w:val="00D1442E"/>
    <w:rsid w:val="00D3168E"/>
    <w:rsid w:val="00D32A7F"/>
    <w:rsid w:val="00DC5E75"/>
    <w:rsid w:val="00DE31DB"/>
    <w:rsid w:val="00DE4C9B"/>
    <w:rsid w:val="00DF376A"/>
    <w:rsid w:val="00E1327E"/>
    <w:rsid w:val="00E15798"/>
    <w:rsid w:val="00E21585"/>
    <w:rsid w:val="00E444C9"/>
    <w:rsid w:val="00E73AE7"/>
    <w:rsid w:val="00E83962"/>
    <w:rsid w:val="00E97975"/>
    <w:rsid w:val="00EF214B"/>
    <w:rsid w:val="00F03391"/>
    <w:rsid w:val="00F10968"/>
    <w:rsid w:val="00F1216A"/>
    <w:rsid w:val="00F23FD8"/>
    <w:rsid w:val="00F309F5"/>
    <w:rsid w:val="00F3728A"/>
    <w:rsid w:val="00F55427"/>
    <w:rsid w:val="00F7006C"/>
    <w:rsid w:val="00F838C6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2E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2022-04-04T12:30:00Z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