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F7103BC" w:rsidR="004F141C" w:rsidRDefault="005B4EE8" w:rsidP="00AC2F92">
      <w:pPr>
        <w:tabs>
          <w:tab w:val="left" w:pos="7335"/>
        </w:tabs>
        <w:spacing w:line="36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4.1</w:t>
      </w:r>
    </w:p>
    <w:p w14:paraId="00000002" w14:textId="20313EEC" w:rsidR="004F141C" w:rsidRDefault="005B4EE8" w:rsidP="00AC2F9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α. Το ανώτερο τροφικό επίπεδο του οικοσυστήματος συνίσταται από τους γλάρους, οι οποίοι θεωρούνται οι κορυφαίοι καταναλωτές, του συγκεκριμένου οικοσυστήματος, καθώς δεν καταναλώνονται από κάποιον άλλο ανώτερο καταναλωτή. Η τροφική αλυσίδα του οικοσυστήματος είναι η εξής: </w:t>
      </w:r>
    </w:p>
    <w:p w14:paraId="00000003" w14:textId="77777777" w:rsidR="004F141C" w:rsidRDefault="005B4EE8" w:rsidP="00AC2F9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φυτοπλαγκτόν → ζωοπλαγκτόν → σαρδέλες → γλάροι.</w:t>
      </w:r>
    </w:p>
    <w:p w14:paraId="00000004" w14:textId="77777777" w:rsidR="004F141C" w:rsidRDefault="005B4EE8" w:rsidP="00AC2F9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β. Στο οικοσύστημα υπάρχουν 5.000 ΚJ / 25 KJ = 200 σαρδέλες (πληθυσμός σαρδελών). </w:t>
      </w:r>
    </w:p>
    <w:p w14:paraId="00000005" w14:textId="5B2EDAC7" w:rsidR="004F141C" w:rsidRDefault="005B4EE8" w:rsidP="006F03D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Από το ένα τροφικό επίπεδο του οικοσυστήματος στο επόμενο, παρατηρείται πτωτική τάση στην ενέργεια της τάξης του 90%, δηλαδή μόνο το 10% της ενέργειας ενός τροφικού επιπέδου μεταφέρεται στο επόμενο τροφικό επίπεδο. Άρα, η ενέργεια στο τροφικό επίπεδο των γλάρων, που τρέφονται από τις σαρδέλες θα είναι 5.000 ΚJ x 10% = 500 KJ. Ομοίως, η ενέργεια στο επίπεδο του </w:t>
      </w:r>
      <w:proofErr w:type="spellStart"/>
      <w:r>
        <w:rPr>
          <w:rFonts w:ascii="Calibri" w:eastAsia="Calibri" w:hAnsi="Calibri" w:cs="Calibri"/>
          <w:sz w:val="24"/>
          <w:szCs w:val="24"/>
        </w:rPr>
        <w:t>ζωοπλαγκτού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θα είναι 5.000 </w:t>
      </w:r>
      <w:r w:rsidR="007E09D7">
        <w:rPr>
          <w:rFonts w:ascii="Calibri" w:eastAsia="Calibri" w:hAnsi="Calibri" w:cs="Calibri"/>
          <w:sz w:val="24"/>
          <w:szCs w:val="24"/>
        </w:rPr>
        <w:t xml:space="preserve">ΚJ </w:t>
      </w:r>
      <w:r>
        <w:rPr>
          <w:rFonts w:ascii="Calibri" w:eastAsia="Calibri" w:hAnsi="Calibri" w:cs="Calibri"/>
          <w:sz w:val="24"/>
          <w:szCs w:val="24"/>
        </w:rPr>
        <w:t xml:space="preserve">x 10 = 50.000 ΚJ και η ενέργεια στο επίπεδο του </w:t>
      </w:r>
      <w:proofErr w:type="spellStart"/>
      <w:r>
        <w:rPr>
          <w:rFonts w:ascii="Calibri" w:eastAsia="Calibri" w:hAnsi="Calibri" w:cs="Calibri"/>
          <w:sz w:val="24"/>
          <w:szCs w:val="24"/>
        </w:rPr>
        <w:t>φυτοπλαγκτού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θα είναι 50.000</w:t>
      </w:r>
      <w:r w:rsidR="007E09D7" w:rsidRPr="007E09D7">
        <w:rPr>
          <w:rFonts w:ascii="Calibri" w:eastAsia="Calibri" w:hAnsi="Calibri" w:cs="Calibri"/>
          <w:sz w:val="24"/>
          <w:szCs w:val="24"/>
        </w:rPr>
        <w:t xml:space="preserve"> </w:t>
      </w:r>
      <w:r w:rsidR="007E09D7">
        <w:rPr>
          <w:rFonts w:ascii="Calibri" w:eastAsia="Calibri" w:hAnsi="Calibri" w:cs="Calibri"/>
          <w:sz w:val="24"/>
          <w:szCs w:val="24"/>
        </w:rPr>
        <w:t>ΚJ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x 10 = 500.000 KJ.</w:t>
      </w:r>
    </w:p>
    <w:p w14:paraId="59F0C215" w14:textId="77777777" w:rsidR="00AC2F92" w:rsidRDefault="00AC2F92" w:rsidP="006F03D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</w:p>
    <w:p w14:paraId="00000007" w14:textId="77777777" w:rsidR="004F141C" w:rsidRDefault="005B4EE8" w:rsidP="006F03D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4.2</w:t>
      </w:r>
    </w:p>
    <w:p w14:paraId="00000008" w14:textId="6C5D89C0" w:rsidR="004F141C" w:rsidRDefault="005B4EE8" w:rsidP="006F03D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α. Η αμοιβαδοειδής δυσεντερία είναι μια λοιμώδης ασθένεια, που οφείλεται στο  παθογόνο πρωτόζωο της ιστολυτικής αμοιβάδας. Ο μικροοργανισμός αυτός μεταδίδεται στον άνθρωπο, μέσω μολυσμένου νερού ή μολυσμένης τροφής.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Η ηπατίτιδα Β οφείλεται σε ιό. Σε ενήλικο άτομο μπορεί να μεταδοθεί είτε μέσω της σεξουαλικής επαφής είτε μέσω του αίματος και των παραγώγων του.  </w:t>
      </w:r>
    </w:p>
    <w:p w14:paraId="00000009" w14:textId="77777777" w:rsidR="004F141C" w:rsidRDefault="005B4EE8" w:rsidP="00AC2F9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 Η πενικιλίνη είναι ένα αντιβιοτικό, που αναστέλλει τη σύνθεση του κυτταρικού τοιχώματος των μικροοργανισμών (π.χ. βακτηρίων). Στην ιστολυτική αμοιβάδα, δεν μπορεί να δράσει η πενικιλίνη, αφού τα πρωτόζωα δε διαθέτουν κυτταρικό τοίχωμα. Οι ιοί, όπως ο ιός της ηπατίτιδας Β, αποτελούν ακυτταρικές μορφές ζωής, χωρίς δικό τους μεταβολικό μηχανισμό, με αποτέλεσμα η πενικιλίνη και γενικότερα τα αντιβιοτικά, να μην είναι αποτελεσματικά για την αντιμετώπισή τους. Άρα, σε κανέναν από τους ασθενείς δεν προτείνεται η πενικιλίνη ως θεραπεία.</w:t>
      </w:r>
    </w:p>
    <w:p w14:paraId="0000000A" w14:textId="77777777" w:rsidR="004F141C" w:rsidRDefault="004F141C" w:rsidP="00AC2F9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4F141C" w:rsidRDefault="004F141C" w:rsidP="00AC2F92">
      <w:pPr>
        <w:tabs>
          <w:tab w:val="left" w:pos="7335"/>
        </w:tabs>
        <w:spacing w:line="360" w:lineRule="auto"/>
        <w:jc w:val="both"/>
        <w:rPr>
          <w:rFonts w:ascii="Calibri" w:eastAsia="Calibri" w:hAnsi="Calibri" w:cs="Calibri"/>
          <w:color w:val="A61C00"/>
          <w:sz w:val="24"/>
          <w:szCs w:val="24"/>
        </w:rPr>
      </w:pPr>
    </w:p>
    <w:sectPr w:rsidR="004F14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1C"/>
    <w:rsid w:val="004F141C"/>
    <w:rsid w:val="005B4EE8"/>
    <w:rsid w:val="006F03D2"/>
    <w:rsid w:val="007055BA"/>
    <w:rsid w:val="007E09D7"/>
    <w:rsid w:val="00AC2F92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E3C38-00FB-48E3-A806-BD9C4E2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Πέτρος Καραγιαννόπουλος</dc:creator>
  <cp:lastModifiedBy>.</cp:lastModifiedBy>
  <cp:revision>4</cp:revision>
  <cp:lastPrinted>2022-02-24T21:16:00Z</cp:lastPrinted>
  <dcterms:created xsi:type="dcterms:W3CDTF">2022-02-27T18:15:00Z</dcterms:created>
  <dcterms:modified xsi:type="dcterms:W3CDTF">2022-02-27T18:16:00Z</dcterms:modified>
</cp:coreProperties>
</file>