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88B" w:rsidRDefault="00D07688">
      <w:pPr>
        <w:tabs>
          <w:tab w:val="center" w:pos="4535"/>
        </w:tabs>
        <w:spacing w:line="360" w:lineRule="auto"/>
        <w:rPr>
          <w:b/>
          <w:sz w:val="24"/>
          <w:szCs w:val="24"/>
        </w:rPr>
      </w:pPr>
      <w:r>
        <w:rPr>
          <w:b/>
          <w:sz w:val="24"/>
          <w:szCs w:val="24"/>
        </w:rPr>
        <w:t xml:space="preserve">ΘΕΜΑ 4 </w:t>
      </w:r>
    </w:p>
    <w:p w:rsidR="00B6388B" w:rsidRDefault="00D07688">
      <w:pPr>
        <w:tabs>
          <w:tab w:val="center" w:pos="4535"/>
        </w:tabs>
        <w:spacing w:line="360" w:lineRule="auto"/>
        <w:rPr>
          <w:b/>
          <w:color w:val="000000"/>
          <w:sz w:val="24"/>
          <w:szCs w:val="24"/>
        </w:rPr>
      </w:pPr>
      <w:r>
        <w:rPr>
          <w:b/>
          <w:color w:val="000000"/>
          <w:sz w:val="24"/>
          <w:szCs w:val="24"/>
        </w:rPr>
        <w:t xml:space="preserve">4.1 Το παρακάτω </w:t>
      </w:r>
      <w:r>
        <w:rPr>
          <w:b/>
          <w:sz w:val="24"/>
          <w:szCs w:val="24"/>
        </w:rPr>
        <w:t>τροφικό πλέγμα</w:t>
      </w:r>
      <w:r>
        <w:rPr>
          <w:b/>
          <w:color w:val="000000"/>
          <w:sz w:val="24"/>
          <w:szCs w:val="24"/>
        </w:rPr>
        <w:t xml:space="preserve"> απει</w:t>
      </w:r>
      <w:r>
        <w:rPr>
          <w:b/>
          <w:sz w:val="24"/>
          <w:szCs w:val="24"/>
        </w:rPr>
        <w:t xml:space="preserve">κονίζει </w:t>
      </w:r>
      <w:r>
        <w:rPr>
          <w:b/>
          <w:color w:val="000000"/>
          <w:sz w:val="24"/>
          <w:szCs w:val="24"/>
        </w:rPr>
        <w:t xml:space="preserve">τις τροφικές σχέσεις ανάμεσα στους οργανισμούς σε μια αγροτική περιοχή. </w:t>
      </w:r>
    </w:p>
    <w:p w:rsidR="00B6388B" w:rsidRDefault="00D07688">
      <w:pPr>
        <w:spacing w:line="360" w:lineRule="auto"/>
        <w:jc w:val="center"/>
        <w:rPr>
          <w:b/>
          <w:sz w:val="24"/>
          <w:szCs w:val="24"/>
        </w:rPr>
      </w:pPr>
      <w:r>
        <w:rPr>
          <w:b/>
          <w:noProof/>
          <w:sz w:val="24"/>
          <w:szCs w:val="24"/>
        </w:rPr>
        <w:drawing>
          <wp:inline distT="0" distB="0" distL="0" distR="0">
            <wp:extent cx="4131457" cy="2606100"/>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131457" cy="2606100"/>
                    </a:xfrm>
                    <a:prstGeom prst="rect">
                      <a:avLst/>
                    </a:prstGeom>
                    <a:ln/>
                  </pic:spPr>
                </pic:pic>
              </a:graphicData>
            </a:graphic>
          </wp:inline>
        </w:drawing>
      </w:r>
    </w:p>
    <w:p w:rsidR="00B6388B" w:rsidRDefault="00D07688">
      <w:pPr>
        <w:spacing w:line="360" w:lineRule="auto"/>
        <w:rPr>
          <w:sz w:val="24"/>
          <w:szCs w:val="24"/>
        </w:rPr>
      </w:pPr>
      <w:bookmarkStart w:id="0" w:name="_heading=h.1fob9te" w:colFirst="0" w:colLast="0"/>
      <w:bookmarkEnd w:id="0"/>
      <w:r>
        <w:rPr>
          <w:sz w:val="24"/>
          <w:szCs w:val="24"/>
        </w:rPr>
        <w:t xml:space="preserve">α. Να περιγράψετε το κριτήριο που θα χρησιμοποιούσατε ώστε να διακρίνετε τους οργανισμούς του διαγράμματος σε παραγωγούς και καταναλωτές (μονάδες 4). Να αναφέρετε ποια άλλη κατηγορία οργανισμών του οικοσυστήματος, που δεν απεικονίζεται στο τροφικό πλέγμα, </w:t>
      </w:r>
      <w:r>
        <w:rPr>
          <w:sz w:val="24"/>
          <w:szCs w:val="24"/>
        </w:rPr>
        <w:t>αποτελεί τους ετερότροφους οργανισμούς του οικοσυστήματος (μονάδες 2).</w:t>
      </w:r>
    </w:p>
    <w:p w:rsidR="00B6388B" w:rsidRDefault="00D07688">
      <w:pPr>
        <w:spacing w:line="360" w:lineRule="auto"/>
        <w:rPr>
          <w:sz w:val="24"/>
          <w:szCs w:val="24"/>
        </w:rPr>
      </w:pPr>
      <w:r>
        <w:rPr>
          <w:sz w:val="24"/>
          <w:szCs w:val="24"/>
        </w:rPr>
        <w:t>β. Π</w:t>
      </w:r>
      <w:r>
        <w:rPr>
          <w:color w:val="000000"/>
          <w:sz w:val="24"/>
          <w:szCs w:val="24"/>
          <w:highlight w:val="white"/>
        </w:rPr>
        <w:t xml:space="preserve">οιος από τους οργανισμούς του </w:t>
      </w:r>
      <w:r>
        <w:rPr>
          <w:sz w:val="24"/>
          <w:szCs w:val="24"/>
          <w:highlight w:val="white"/>
        </w:rPr>
        <w:t xml:space="preserve">τροφικού πλέγματος </w:t>
      </w:r>
      <w:r>
        <w:rPr>
          <w:color w:val="000000"/>
          <w:sz w:val="24"/>
          <w:szCs w:val="24"/>
          <w:highlight w:val="white"/>
        </w:rPr>
        <w:t xml:space="preserve">συμπεριφέρεται ταυτόχρονα και ως καταναλωτής 1ης και ως καταναλωτής 2ης τάξης </w:t>
      </w:r>
      <w:r>
        <w:rPr>
          <w:sz w:val="24"/>
          <w:szCs w:val="24"/>
        </w:rPr>
        <w:t>(μονάδες 2)</w:t>
      </w:r>
      <w:r>
        <w:rPr>
          <w:color w:val="000000"/>
          <w:sz w:val="24"/>
          <w:szCs w:val="24"/>
          <w:highlight w:val="white"/>
        </w:rPr>
        <w:t xml:space="preserve">; </w:t>
      </w:r>
      <w:r>
        <w:rPr>
          <w:sz w:val="24"/>
          <w:szCs w:val="24"/>
        </w:rPr>
        <w:t>Να αιτιολογήσετε την απάντησή σας (μονάδε</w:t>
      </w:r>
      <w:r>
        <w:rPr>
          <w:sz w:val="24"/>
          <w:szCs w:val="24"/>
        </w:rPr>
        <w:t>ς 4).</w:t>
      </w:r>
    </w:p>
    <w:p w:rsidR="00B6388B" w:rsidRDefault="00D07688">
      <w:pPr>
        <w:spacing w:line="360" w:lineRule="auto"/>
        <w:jc w:val="right"/>
        <w:rPr>
          <w:b/>
          <w:sz w:val="24"/>
          <w:szCs w:val="24"/>
        </w:rPr>
      </w:pPr>
      <w:r>
        <w:rPr>
          <w:b/>
          <w:sz w:val="24"/>
          <w:szCs w:val="24"/>
        </w:rPr>
        <w:t>Μονάδες 12</w:t>
      </w:r>
    </w:p>
    <w:p w:rsidR="00B6388B" w:rsidRDefault="00D07688">
      <w:pPr>
        <w:spacing w:line="360" w:lineRule="auto"/>
        <w:rPr>
          <w:rFonts w:ascii="Times New Roman" w:eastAsia="Times New Roman" w:hAnsi="Times New Roman" w:cs="Times New Roman"/>
          <w:sz w:val="24"/>
          <w:szCs w:val="24"/>
        </w:rPr>
      </w:pPr>
      <w:r>
        <w:rPr>
          <w:b/>
          <w:color w:val="242021"/>
          <w:sz w:val="24"/>
          <w:szCs w:val="24"/>
        </w:rPr>
        <w:t xml:space="preserve">4.2 </w:t>
      </w:r>
      <w:r>
        <w:rPr>
          <w:b/>
          <w:color w:val="000000"/>
          <w:sz w:val="24"/>
          <w:szCs w:val="24"/>
        </w:rPr>
        <w:t xml:space="preserve">Η ουρολοίμωξη είναι η προσβολή κάποιου οργάνου του ουροποιητικού συστήματος από κάποιο μικροοργανισμό. Ο πιο συνηθισμένος μικροοργανισμός που προκαλεί ουρολοίμωξη είναι το βακτήριο </w:t>
      </w:r>
      <w:r>
        <w:rPr>
          <w:b/>
          <w:i/>
          <w:color w:val="000000"/>
          <w:sz w:val="24"/>
          <w:szCs w:val="24"/>
        </w:rPr>
        <w:t>Escherichia</w:t>
      </w:r>
      <w:r>
        <w:rPr>
          <w:b/>
          <w:color w:val="000000"/>
          <w:sz w:val="24"/>
          <w:szCs w:val="24"/>
        </w:rPr>
        <w:t xml:space="preserve"> </w:t>
      </w:r>
      <w:r>
        <w:rPr>
          <w:b/>
          <w:i/>
          <w:color w:val="000000"/>
          <w:sz w:val="24"/>
          <w:szCs w:val="24"/>
        </w:rPr>
        <w:t xml:space="preserve">coli </w:t>
      </w:r>
      <w:r>
        <w:rPr>
          <w:b/>
          <w:color w:val="000000"/>
          <w:sz w:val="24"/>
          <w:szCs w:val="24"/>
        </w:rPr>
        <w:t>σε ποσοστό περίπου 80%. Έχει αποδειχθ</w:t>
      </w:r>
      <w:r>
        <w:rPr>
          <w:b/>
          <w:color w:val="000000"/>
          <w:sz w:val="24"/>
          <w:szCs w:val="24"/>
        </w:rPr>
        <w:t xml:space="preserve">εί ότι το αντιβιοτικό </w:t>
      </w:r>
      <w:r>
        <w:rPr>
          <w:b/>
          <w:i/>
          <w:color w:val="000000"/>
          <w:sz w:val="24"/>
          <w:szCs w:val="24"/>
        </w:rPr>
        <w:t>ciprofloxacin</w:t>
      </w:r>
      <w:r>
        <w:rPr>
          <w:b/>
          <w:color w:val="000000"/>
          <w:sz w:val="24"/>
          <w:szCs w:val="24"/>
        </w:rPr>
        <w:t xml:space="preserve"> τα τελευταία χρόνια δεν προτείνεται για την αντιμετώπιση της ουρολοίμωξης</w:t>
      </w:r>
      <w:r>
        <w:rPr>
          <w:b/>
          <w:sz w:val="24"/>
          <w:szCs w:val="24"/>
        </w:rPr>
        <w:t xml:space="preserve">, </w:t>
      </w:r>
      <w:proofErr w:type="spellStart"/>
      <w:r>
        <w:rPr>
          <w:b/>
          <w:color w:val="000000"/>
          <w:sz w:val="24"/>
          <w:szCs w:val="24"/>
        </w:rPr>
        <w:t>γι</w:t>
      </w:r>
      <w:proofErr w:type="spellEnd"/>
      <w:r w:rsidR="00AA6C3E" w:rsidRPr="00AA6C3E">
        <w:rPr>
          <w:b/>
          <w:color w:val="000000"/>
          <w:sz w:val="24"/>
          <w:szCs w:val="24"/>
        </w:rPr>
        <w:t>α</w:t>
      </w:r>
      <w:bookmarkStart w:id="1" w:name="_GoBack"/>
      <w:bookmarkEnd w:id="1"/>
      <w:r>
        <w:rPr>
          <w:b/>
          <w:color w:val="000000"/>
          <w:sz w:val="24"/>
          <w:szCs w:val="24"/>
        </w:rPr>
        <w:t xml:space="preserve"> αυτό το λόγο προτάθηκε ως επιλογή το αντιβιοτικό </w:t>
      </w:r>
      <w:r>
        <w:rPr>
          <w:b/>
          <w:i/>
          <w:color w:val="000000"/>
          <w:sz w:val="24"/>
          <w:szCs w:val="24"/>
        </w:rPr>
        <w:t>fosfomycin</w:t>
      </w:r>
      <w:r>
        <w:rPr>
          <w:b/>
          <w:color w:val="000000"/>
          <w:sz w:val="24"/>
          <w:szCs w:val="24"/>
        </w:rPr>
        <w:t xml:space="preserve">, που φαίνεται πλέον να είναι αποτελεσματικότερο από ερευνητικές μελέτες. Το σχήμα </w:t>
      </w:r>
      <w:r>
        <w:rPr>
          <w:b/>
          <w:color w:val="000000"/>
          <w:sz w:val="24"/>
          <w:szCs w:val="24"/>
        </w:rPr>
        <w:t>που ακολουθεί παρουσιάζει τη στερεή καλλιέργεια του βακτηρίου</w:t>
      </w:r>
      <w:r>
        <w:rPr>
          <w:b/>
          <w:i/>
          <w:color w:val="000000"/>
          <w:sz w:val="24"/>
          <w:szCs w:val="24"/>
        </w:rPr>
        <w:t xml:space="preserve"> Escherichia</w:t>
      </w:r>
      <w:r>
        <w:rPr>
          <w:b/>
          <w:color w:val="000000"/>
          <w:sz w:val="24"/>
          <w:szCs w:val="24"/>
        </w:rPr>
        <w:t xml:space="preserve"> </w:t>
      </w:r>
      <w:r>
        <w:rPr>
          <w:b/>
          <w:i/>
          <w:color w:val="000000"/>
          <w:sz w:val="24"/>
          <w:szCs w:val="24"/>
        </w:rPr>
        <w:t xml:space="preserve">coli, </w:t>
      </w:r>
      <w:r>
        <w:rPr>
          <w:b/>
          <w:color w:val="000000"/>
          <w:sz w:val="24"/>
          <w:szCs w:val="24"/>
        </w:rPr>
        <w:t>δηλαδή την ανάπτυξη του μικροοργανισμού στο εργαστήριο, σε κατάλληλο δοχείο (</w:t>
      </w:r>
      <w:proofErr w:type="spellStart"/>
      <w:r>
        <w:rPr>
          <w:b/>
          <w:color w:val="000000"/>
          <w:sz w:val="24"/>
          <w:szCs w:val="24"/>
        </w:rPr>
        <w:t>τρυβλίο</w:t>
      </w:r>
      <w:proofErr w:type="spellEnd"/>
      <w:r>
        <w:rPr>
          <w:b/>
          <w:color w:val="000000"/>
          <w:sz w:val="24"/>
          <w:szCs w:val="24"/>
        </w:rPr>
        <w:t xml:space="preserve"> </w:t>
      </w:r>
      <w:proofErr w:type="spellStart"/>
      <w:r>
        <w:rPr>
          <w:b/>
          <w:i/>
          <w:color w:val="000000"/>
          <w:sz w:val="24"/>
          <w:szCs w:val="24"/>
        </w:rPr>
        <w:t>petri</w:t>
      </w:r>
      <w:proofErr w:type="spellEnd"/>
      <w:r>
        <w:rPr>
          <w:b/>
          <w:color w:val="000000"/>
          <w:sz w:val="24"/>
          <w:szCs w:val="24"/>
        </w:rPr>
        <w:t>), στο οποίο ο μικροοργανισμός αναπτύσσεται καταναλώνοντας κατάλληλο θρεπτικό υλικό. Α</w:t>
      </w:r>
      <w:r>
        <w:rPr>
          <w:b/>
          <w:color w:val="000000"/>
          <w:sz w:val="24"/>
          <w:szCs w:val="24"/>
        </w:rPr>
        <w:t xml:space="preserve">φού αναπτυχθεί ο μικροοργανισμός, προστίθενται τα δύο προαναφερόμενα αντιβιοτικά, </w:t>
      </w:r>
      <w:r>
        <w:rPr>
          <w:b/>
          <w:color w:val="000000"/>
          <w:sz w:val="24"/>
          <w:szCs w:val="24"/>
        </w:rPr>
        <w:lastRenderedPageBreak/>
        <w:t>τα οποία υποδεικνύονται ως δύο χρωματισμένοι δίσκοι α και β. Η περιοχή με σκίαση αντιστοιχεί σε κανονική ανάπτυξη του βακτηρίου, ενώ η περιοχή γύρω από τα αντιβιοτικά αντιστο</w:t>
      </w:r>
      <w:r>
        <w:rPr>
          <w:b/>
          <w:color w:val="000000"/>
          <w:sz w:val="24"/>
          <w:szCs w:val="24"/>
        </w:rPr>
        <w:t>ιχεί στη ζώνη ανάσχεσης της ανάπτυξης του μικροβίου.</w:t>
      </w:r>
    </w:p>
    <w:p w:rsidR="00B6388B" w:rsidRDefault="00D07688">
      <w:pPr>
        <w:spacing w:line="360" w:lineRule="auto"/>
        <w:jc w:val="center"/>
        <w:rPr>
          <w:b/>
          <w:sz w:val="24"/>
          <w:szCs w:val="24"/>
        </w:rPr>
      </w:pPr>
      <w:r>
        <w:rPr>
          <w:b/>
          <w:noProof/>
          <w:sz w:val="24"/>
          <w:szCs w:val="24"/>
        </w:rPr>
        <w:drawing>
          <wp:inline distT="0" distB="0" distL="0" distR="0">
            <wp:extent cx="2863385" cy="1978469"/>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863385" cy="1978469"/>
                    </a:xfrm>
                    <a:prstGeom prst="rect">
                      <a:avLst/>
                    </a:prstGeom>
                    <a:ln/>
                  </pic:spPr>
                </pic:pic>
              </a:graphicData>
            </a:graphic>
          </wp:inline>
        </w:drawing>
      </w:r>
    </w:p>
    <w:p w:rsidR="00B6388B" w:rsidRDefault="00B6388B">
      <w:pPr>
        <w:spacing w:line="360" w:lineRule="auto"/>
        <w:jc w:val="center"/>
        <w:rPr>
          <w:b/>
          <w:sz w:val="24"/>
          <w:szCs w:val="24"/>
        </w:rPr>
      </w:pPr>
    </w:p>
    <w:p w:rsidR="00B6388B" w:rsidRDefault="00D07688">
      <w:pPr>
        <w:spacing w:line="360" w:lineRule="auto"/>
        <w:rPr>
          <w:sz w:val="24"/>
          <w:szCs w:val="24"/>
        </w:rPr>
      </w:pPr>
      <w:r>
        <w:rPr>
          <w:sz w:val="24"/>
          <w:szCs w:val="24"/>
        </w:rPr>
        <w:t xml:space="preserve">α. </w:t>
      </w:r>
      <w:r>
        <w:rPr>
          <w:color w:val="242021"/>
          <w:sz w:val="24"/>
          <w:szCs w:val="24"/>
        </w:rPr>
        <w:t>Να αναφέρετε</w:t>
      </w:r>
      <w:r>
        <w:rPr>
          <w:b/>
          <w:color w:val="242021"/>
          <w:sz w:val="24"/>
          <w:szCs w:val="24"/>
        </w:rPr>
        <w:t xml:space="preserve"> </w:t>
      </w:r>
      <w:r>
        <w:rPr>
          <w:color w:val="242021"/>
          <w:sz w:val="24"/>
          <w:szCs w:val="24"/>
        </w:rPr>
        <w:t xml:space="preserve">ποιος από τους χρωματισμένους δίσκους α και β αντιστοιχεί στα αντιβιοτικά </w:t>
      </w:r>
      <w:r>
        <w:rPr>
          <w:i/>
          <w:color w:val="242021"/>
          <w:sz w:val="24"/>
          <w:szCs w:val="24"/>
        </w:rPr>
        <w:t>ciprofloxacin</w:t>
      </w:r>
      <w:r>
        <w:rPr>
          <w:color w:val="242021"/>
          <w:sz w:val="24"/>
          <w:szCs w:val="24"/>
        </w:rPr>
        <w:t xml:space="preserve"> και </w:t>
      </w:r>
      <w:r>
        <w:rPr>
          <w:i/>
          <w:color w:val="242021"/>
          <w:sz w:val="24"/>
          <w:szCs w:val="24"/>
        </w:rPr>
        <w:t>fosfomycin</w:t>
      </w:r>
      <w:r>
        <w:rPr>
          <w:color w:val="242021"/>
          <w:sz w:val="24"/>
          <w:szCs w:val="24"/>
        </w:rPr>
        <w:t xml:space="preserve"> (μονάδες 3). Να δικαιολογήσετε την απάντησή σας (μονάδες 3). </w:t>
      </w:r>
    </w:p>
    <w:p w:rsidR="00B6388B" w:rsidRDefault="00D07688">
      <w:pPr>
        <w:spacing w:line="360" w:lineRule="auto"/>
      </w:pPr>
      <w:r>
        <w:rPr>
          <w:sz w:val="24"/>
          <w:szCs w:val="24"/>
        </w:rPr>
        <w:t>β. Να εξηγήσετε γιατί πιστεύετε ότι το</w:t>
      </w:r>
      <w:r>
        <w:rPr>
          <w:color w:val="242021"/>
          <w:sz w:val="24"/>
          <w:szCs w:val="24"/>
        </w:rPr>
        <w:t xml:space="preserve"> αντιβιοτικό</w:t>
      </w:r>
      <w:r>
        <w:rPr>
          <w:i/>
          <w:color w:val="242021"/>
          <w:sz w:val="24"/>
          <w:szCs w:val="24"/>
        </w:rPr>
        <w:t xml:space="preserve"> ciprofloxacin</w:t>
      </w:r>
      <w:r>
        <w:rPr>
          <w:color w:val="242021"/>
          <w:sz w:val="24"/>
          <w:szCs w:val="24"/>
        </w:rPr>
        <w:t xml:space="preserve"> δεν παρουσιάζει, πλέον, μεγάλη επίδραση στα βακτήρια </w:t>
      </w:r>
      <w:r>
        <w:rPr>
          <w:i/>
          <w:sz w:val="24"/>
          <w:szCs w:val="24"/>
        </w:rPr>
        <w:t>Escherichia</w:t>
      </w:r>
      <w:r>
        <w:rPr>
          <w:sz w:val="24"/>
          <w:szCs w:val="24"/>
        </w:rPr>
        <w:t xml:space="preserve"> </w:t>
      </w:r>
      <w:r>
        <w:rPr>
          <w:i/>
          <w:sz w:val="24"/>
          <w:szCs w:val="24"/>
        </w:rPr>
        <w:t>coli</w:t>
      </w:r>
      <w:r>
        <w:rPr>
          <w:b/>
          <w:i/>
          <w:sz w:val="24"/>
          <w:szCs w:val="24"/>
        </w:rPr>
        <w:t xml:space="preserve"> </w:t>
      </w:r>
      <w:r>
        <w:rPr>
          <w:color w:val="242021"/>
          <w:sz w:val="24"/>
          <w:szCs w:val="24"/>
        </w:rPr>
        <w:t xml:space="preserve">(μονάδες 7). </w:t>
      </w:r>
    </w:p>
    <w:p w:rsidR="00B6388B" w:rsidRDefault="00D07688">
      <w:pPr>
        <w:spacing w:line="360" w:lineRule="auto"/>
        <w:jc w:val="right"/>
        <w:rPr>
          <w:b/>
          <w:sz w:val="24"/>
          <w:szCs w:val="24"/>
        </w:rPr>
      </w:pPr>
      <w:r>
        <w:rPr>
          <w:b/>
          <w:sz w:val="24"/>
          <w:szCs w:val="24"/>
        </w:rPr>
        <w:t>Μονάδες 13</w:t>
      </w:r>
    </w:p>
    <w:p w:rsidR="00B6388B" w:rsidRDefault="00B6388B">
      <w:pPr>
        <w:spacing w:line="360" w:lineRule="auto"/>
        <w:rPr>
          <w:sz w:val="24"/>
          <w:szCs w:val="24"/>
        </w:rPr>
      </w:pPr>
    </w:p>
    <w:p w:rsidR="00B6388B" w:rsidRDefault="00B6388B">
      <w:pPr>
        <w:spacing w:line="360" w:lineRule="auto"/>
        <w:rPr>
          <w:b/>
          <w:sz w:val="24"/>
          <w:szCs w:val="24"/>
        </w:rPr>
      </w:pPr>
      <w:bookmarkStart w:id="2" w:name="_heading=h.gjdgxs" w:colFirst="0" w:colLast="0"/>
      <w:bookmarkEnd w:id="2"/>
    </w:p>
    <w:sectPr w:rsidR="00B6388B">
      <w:footerReference w:type="default" r:id="rId9"/>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688" w:rsidRDefault="00D07688">
      <w:pPr>
        <w:spacing w:line="240" w:lineRule="auto"/>
      </w:pPr>
      <w:r>
        <w:separator/>
      </w:r>
    </w:p>
  </w:endnote>
  <w:endnote w:type="continuationSeparator" w:id="0">
    <w:p w:rsidR="00D07688" w:rsidRDefault="00D076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MT">
    <w:panose1 w:val="00000000000000000000"/>
    <w:charset w:val="00"/>
    <w:family w:val="roman"/>
    <w:notTrueType/>
    <w:pitch w:val="default"/>
  </w:font>
  <w:font w:name="Arial-BoldMT">
    <w:panose1 w:val="00000000000000000000"/>
    <w:charset w:val="00"/>
    <w:family w:val="roman"/>
    <w:notTrueType/>
    <w:pitch w:val="default"/>
  </w:font>
  <w:font w:name="Georgia">
    <w:panose1 w:val="02040502050405020303"/>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PFCatalog-Bold">
    <w:panose1 w:val="00000000000000000000"/>
    <w:charset w:val="00"/>
    <w:family w:val="roman"/>
    <w:notTrueType/>
    <w:pitch w:val="default"/>
  </w:font>
  <w:font w:name="PFCatalog-Bold-SC750">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88B" w:rsidRDefault="00D07688">
    <w:pPr>
      <w:pBdr>
        <w:top w:val="nil"/>
        <w:left w:val="nil"/>
        <w:bottom w:val="nil"/>
        <w:right w:val="nil"/>
        <w:between w:val="nil"/>
      </w:pBdr>
      <w:tabs>
        <w:tab w:val="center" w:pos="4153"/>
        <w:tab w:val="right" w:pos="8306"/>
      </w:tabs>
      <w:spacing w:line="240" w:lineRule="auto"/>
      <w:rPr>
        <w:color w:val="000000"/>
      </w:rPr>
    </w:pPr>
    <w:r>
      <w:rPr>
        <w:color w:val="00000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688" w:rsidRDefault="00D07688">
      <w:pPr>
        <w:spacing w:line="240" w:lineRule="auto"/>
      </w:pPr>
      <w:r>
        <w:separator/>
      </w:r>
    </w:p>
  </w:footnote>
  <w:footnote w:type="continuationSeparator" w:id="0">
    <w:p w:rsidR="00D07688" w:rsidRDefault="00D0768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88B"/>
    <w:rsid w:val="00AA6C3E"/>
    <w:rsid w:val="00B6388B"/>
    <w:rsid w:val="00D0768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2A92F"/>
  <w15:docId w15:val="{DC4CC742-37C1-4692-97B8-9B6EFF82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C14"/>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a4">
    <w:name w:val="footer"/>
    <w:basedOn w:val="a"/>
    <w:link w:val="Char"/>
    <w:uiPriority w:val="99"/>
    <w:unhideWhenUsed/>
    <w:rsid w:val="003C26A8"/>
    <w:pPr>
      <w:tabs>
        <w:tab w:val="center" w:pos="4153"/>
        <w:tab w:val="right" w:pos="8306"/>
      </w:tabs>
      <w:spacing w:line="240" w:lineRule="auto"/>
    </w:pPr>
  </w:style>
  <w:style w:type="character" w:customStyle="1" w:styleId="Char">
    <w:name w:val="Υποσέλιδο Char"/>
    <w:basedOn w:val="a0"/>
    <w:link w:val="a4"/>
    <w:uiPriority w:val="99"/>
    <w:rsid w:val="003C26A8"/>
  </w:style>
  <w:style w:type="character" w:customStyle="1" w:styleId="fontstyle01">
    <w:name w:val="fontstyle01"/>
    <w:basedOn w:val="a0"/>
    <w:rsid w:val="003C26A8"/>
    <w:rPr>
      <w:rFonts w:ascii="ArialMT" w:hAnsi="ArialMT" w:hint="default"/>
      <w:b w:val="0"/>
      <w:bCs w:val="0"/>
      <w:i w:val="0"/>
      <w:iCs w:val="0"/>
      <w:color w:val="242021"/>
      <w:sz w:val="24"/>
      <w:szCs w:val="24"/>
    </w:rPr>
  </w:style>
  <w:style w:type="paragraph" w:styleId="a5">
    <w:name w:val="List Paragraph"/>
    <w:basedOn w:val="a"/>
    <w:uiPriority w:val="34"/>
    <w:qFormat/>
    <w:rsid w:val="00802B2C"/>
    <w:pPr>
      <w:ind w:left="720"/>
      <w:contextualSpacing/>
    </w:pPr>
  </w:style>
  <w:style w:type="character" w:customStyle="1" w:styleId="fontstyle21">
    <w:name w:val="fontstyle21"/>
    <w:basedOn w:val="a0"/>
    <w:rsid w:val="00D05780"/>
    <w:rPr>
      <w:rFonts w:ascii="Arial-BoldMT" w:hAnsi="Arial-BoldMT" w:hint="default"/>
      <w:b/>
      <w:bCs/>
      <w:i w:val="0"/>
      <w:iCs w:val="0"/>
      <w:color w:val="242021"/>
      <w:sz w:val="24"/>
      <w:szCs w:val="24"/>
    </w:rPr>
  </w:style>
  <w:style w:type="paragraph" w:styleId="Web">
    <w:name w:val="Normal (Web)"/>
    <w:basedOn w:val="a"/>
    <w:uiPriority w:val="99"/>
    <w:unhideWhenUsed/>
    <w:rsid w:val="00D05780"/>
    <w:pPr>
      <w:spacing w:before="100" w:beforeAutospacing="1" w:after="100" w:afterAutospacing="1" w:line="240" w:lineRule="auto"/>
      <w:jc w:val="left"/>
    </w:pPr>
    <w:rPr>
      <w:rFonts w:ascii="Times New Roman" w:eastAsia="Times New Roman" w:hAnsi="Times New Roman" w:cs="Times New Roman"/>
      <w:sz w:val="24"/>
      <w:szCs w:val="24"/>
    </w:rPr>
  </w:style>
  <w:style w:type="table" w:styleId="a6">
    <w:name w:val="Table Grid"/>
    <w:basedOn w:val="a1"/>
    <w:uiPriority w:val="59"/>
    <w:rsid w:val="00400559"/>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8">
    <w:basedOn w:val="TableNormal4"/>
    <w:pPr>
      <w:spacing w:line="240" w:lineRule="auto"/>
    </w:pPr>
    <w:tblPr>
      <w:tblStyleRowBandSize w:val="1"/>
      <w:tblStyleColBandSize w:val="1"/>
      <w:tblCellMar>
        <w:left w:w="108" w:type="dxa"/>
        <w:right w:w="108" w:type="dxa"/>
      </w:tblCellMar>
    </w:tblPr>
  </w:style>
  <w:style w:type="table" w:customStyle="1" w:styleId="a9">
    <w:basedOn w:val="TableNormal4"/>
    <w:pPr>
      <w:spacing w:line="240" w:lineRule="auto"/>
    </w:pPr>
    <w:tblPr>
      <w:tblStyleRowBandSize w:val="1"/>
      <w:tblStyleColBandSize w:val="1"/>
      <w:tblCellMar>
        <w:left w:w="108" w:type="dxa"/>
        <w:right w:w="108" w:type="dxa"/>
      </w:tblCellMar>
    </w:tblPr>
  </w:style>
  <w:style w:type="character" w:styleId="aa">
    <w:name w:val="Strong"/>
    <w:uiPriority w:val="22"/>
    <w:qFormat/>
    <w:rsid w:val="00F97401"/>
    <w:rPr>
      <w:b/>
      <w:bCs/>
    </w:rPr>
  </w:style>
  <w:style w:type="table" w:customStyle="1" w:styleId="ab">
    <w:basedOn w:val="TableNormal3"/>
    <w:pPr>
      <w:spacing w:line="240" w:lineRule="auto"/>
    </w:pPr>
    <w:tblPr>
      <w:tblStyleRowBandSize w:val="1"/>
      <w:tblStyleColBandSize w:val="1"/>
      <w:tblCellMar>
        <w:left w:w="108" w:type="dxa"/>
        <w:right w:w="108" w:type="dxa"/>
      </w:tblCellMar>
    </w:tblPr>
  </w:style>
  <w:style w:type="table" w:customStyle="1" w:styleId="ac">
    <w:basedOn w:val="TableNormal3"/>
    <w:pPr>
      <w:spacing w:line="240" w:lineRule="auto"/>
    </w:pPr>
    <w:tblPr>
      <w:tblStyleRowBandSize w:val="1"/>
      <w:tblStyleColBandSize w:val="1"/>
      <w:tblCellMar>
        <w:left w:w="108" w:type="dxa"/>
        <w:right w:w="108" w:type="dxa"/>
      </w:tblCellMar>
    </w:tblPr>
  </w:style>
  <w:style w:type="paragraph" w:styleId="ad">
    <w:name w:val="Balloon Text"/>
    <w:basedOn w:val="a"/>
    <w:link w:val="Char0"/>
    <w:uiPriority w:val="99"/>
    <w:semiHidden/>
    <w:unhideWhenUsed/>
    <w:rsid w:val="00143159"/>
    <w:pPr>
      <w:spacing w:line="240" w:lineRule="auto"/>
    </w:pPr>
    <w:rPr>
      <w:rFonts w:ascii="Segoe UI" w:hAnsi="Segoe UI" w:cs="Segoe UI"/>
      <w:sz w:val="18"/>
      <w:szCs w:val="18"/>
    </w:rPr>
  </w:style>
  <w:style w:type="character" w:customStyle="1" w:styleId="Char0">
    <w:name w:val="Κείμενο πλαισίου Char"/>
    <w:basedOn w:val="a0"/>
    <w:link w:val="ad"/>
    <w:uiPriority w:val="99"/>
    <w:semiHidden/>
    <w:rsid w:val="00143159"/>
    <w:rPr>
      <w:rFonts w:ascii="Segoe UI" w:hAnsi="Segoe UI" w:cs="Segoe UI"/>
      <w:sz w:val="18"/>
      <w:szCs w:val="18"/>
    </w:rPr>
  </w:style>
  <w:style w:type="character" w:styleId="-">
    <w:name w:val="Hyperlink"/>
    <w:basedOn w:val="a0"/>
    <w:uiPriority w:val="99"/>
    <w:semiHidden/>
    <w:unhideWhenUsed/>
    <w:rsid w:val="005B49A4"/>
    <w:rPr>
      <w:color w:val="0000FF"/>
      <w:u w:val="single"/>
    </w:rPr>
  </w:style>
  <w:style w:type="character" w:customStyle="1" w:styleId="fontstyle31">
    <w:name w:val="fontstyle31"/>
    <w:basedOn w:val="a0"/>
    <w:rsid w:val="00D94EA0"/>
    <w:rPr>
      <w:rFonts w:ascii="PFCatalog-Bold" w:hAnsi="PFCatalog-Bold" w:hint="default"/>
      <w:b/>
      <w:bCs/>
      <w:i w:val="0"/>
      <w:iCs w:val="0"/>
      <w:color w:val="242021"/>
      <w:sz w:val="18"/>
      <w:szCs w:val="18"/>
    </w:rPr>
  </w:style>
  <w:style w:type="character" w:customStyle="1" w:styleId="fontstyle41">
    <w:name w:val="fontstyle41"/>
    <w:basedOn w:val="a0"/>
    <w:rsid w:val="00D94EA0"/>
    <w:rPr>
      <w:rFonts w:ascii="PFCatalog-Bold-SC750" w:hAnsi="PFCatalog-Bold-SC750" w:hint="default"/>
      <w:b/>
      <w:bCs/>
      <w:i w:val="0"/>
      <w:iCs w:val="0"/>
      <w:color w:val="242021"/>
      <w:sz w:val="24"/>
      <w:szCs w:val="24"/>
    </w:rPr>
  </w:style>
  <w:style w:type="character" w:customStyle="1" w:styleId="fontstyle51">
    <w:name w:val="fontstyle51"/>
    <w:basedOn w:val="a0"/>
    <w:rsid w:val="00D94EA0"/>
    <w:rPr>
      <w:rFonts w:ascii="Arial-BoldMT" w:hAnsi="Arial-BoldMT" w:hint="default"/>
      <w:b/>
      <w:bCs/>
      <w:i w:val="0"/>
      <w:iCs w:val="0"/>
      <w:color w:val="FFFFFF"/>
      <w:sz w:val="22"/>
      <w:szCs w:val="22"/>
    </w:rPr>
  </w:style>
  <w:style w:type="paragraph" w:styleId="ae">
    <w:name w:val="header"/>
    <w:basedOn w:val="a"/>
    <w:link w:val="Char1"/>
    <w:uiPriority w:val="99"/>
    <w:unhideWhenUsed/>
    <w:rsid w:val="00CC2BF0"/>
    <w:pPr>
      <w:tabs>
        <w:tab w:val="center" w:pos="4153"/>
        <w:tab w:val="right" w:pos="8306"/>
      </w:tabs>
      <w:spacing w:line="240" w:lineRule="auto"/>
    </w:pPr>
  </w:style>
  <w:style w:type="character" w:customStyle="1" w:styleId="Char1">
    <w:name w:val="Κεφαλίδα Char"/>
    <w:basedOn w:val="a0"/>
    <w:link w:val="ae"/>
    <w:uiPriority w:val="99"/>
    <w:rsid w:val="00CC2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eNEhBavfhv76Zi/JS2P5raru3A==">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1740</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dcterms:created xsi:type="dcterms:W3CDTF">2022-02-23T08:41:00Z</dcterms:created>
  <dcterms:modified xsi:type="dcterms:W3CDTF">2022-02-23T08:41:00Z</dcterms:modified>
</cp:coreProperties>
</file>