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480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>
      <w:pPr>
        <w:pStyle w:val="Normal"/>
        <w:spacing w:lineRule="auto" w:line="480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</w:p>
    <w:p>
      <w:pPr>
        <w:pStyle w:val="Normal"/>
        <w:spacing w:lineRule="auto" w:line="480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Ισχύει ότι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f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1</m:t>
            </m:r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ln</m:t>
        </m:r>
        <m:f>
          <m:num>
            <m:r>
              <w:rPr>
                <w:rFonts w:ascii="Cambria Math" w:hAnsi="Cambria Math"/>
              </w:rPr>
              <m:t xml:space="preserve">1</m:t>
            </m:r>
          </m:num>
          <m:den>
            <m:d>
              <m:dPr>
                <m:begChr m:val="|"/>
                <m:endChr m:val="|"/>
              </m:dPr>
              <m:e>
                <m:r>
                  <w:rPr>
                    <w:rFonts w:ascii="Cambria Math" w:hAnsi="Cambria Math"/>
                  </w:rPr>
                  <m:t xml:space="preserve">−</m:t>
                </m:r>
                <m:r>
                  <w:rPr>
                    <w:rFonts w:ascii="Cambria Math" w:hAnsi="Cambria Math"/>
                  </w:rPr>
                  <m:t xml:space="preserve">1</m:t>
                </m:r>
              </m:e>
            </m:d>
          </m:den>
        </m:f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ln</m:t>
        </m:r>
        <m:f>
          <m:num>
            <m:r>
              <w:rPr>
                <w:rFonts w:ascii="Cambria Math" w:hAnsi="Cambria Math"/>
              </w:rPr>
              <m:t xml:space="preserve">1</m:t>
            </m:r>
          </m:num>
          <m:den>
            <m:r>
              <w:rPr>
                <w:rFonts w:ascii="Cambria Math" w:hAnsi="Cambria Math"/>
              </w:rPr>
              <m:t xml:space="preserve">1</m:t>
            </m:r>
          </m:den>
        </m:f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ln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</m:t>
        </m:r>
      </m:oMath>
      <w:r>
        <w:rPr>
          <w:sz w:val="24"/>
          <w:szCs w:val="24"/>
        </w:rPr>
        <w:t xml:space="preserve">   και  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f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1</m:t>
            </m:r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ln</m:t>
        </m:r>
        <m:f>
          <m:num>
            <m:r>
              <w:rPr>
                <w:rFonts w:ascii="Cambria Math" w:hAnsi="Cambria Math"/>
              </w:rPr>
              <m:t xml:space="preserve">1</m:t>
            </m:r>
          </m:num>
          <m:den>
            <m:d>
              <m:dPr>
                <m:begChr m:val="|"/>
                <m:endChr m:val="|"/>
              </m:dPr>
              <m:e>
                <m:r>
                  <w:rPr>
                    <w:rFonts w:ascii="Cambria Math" w:hAnsi="Cambria Math"/>
                  </w:rPr>
                  <m:t xml:space="preserve">1</m:t>
                </m:r>
              </m:e>
            </m:d>
          </m:den>
        </m:f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ln</m:t>
        </m:r>
        <m:f>
          <m:num>
            <m:r>
              <w:rPr>
                <w:rFonts w:ascii="Cambria Math" w:hAnsi="Cambria Math"/>
              </w:rPr>
              <m:t xml:space="preserve">1</m:t>
            </m:r>
          </m:num>
          <m:den>
            <m:r>
              <w:rPr>
                <w:rFonts w:ascii="Cambria Math" w:hAnsi="Cambria Math"/>
              </w:rPr>
              <m:t xml:space="preserve">1</m:t>
            </m:r>
          </m:den>
        </m:f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ln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</m:t>
        </m:r>
      </m:oMath>
      <w:r>
        <w:rPr>
          <w:sz w:val="24"/>
          <w:szCs w:val="24"/>
        </w:rPr>
        <w:t xml:space="preserve">  άρα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f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1</m:t>
            </m:r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f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1</m:t>
            </m:r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0.</m:t>
        </m:r>
      </m:oMath>
    </w:p>
    <w:p>
      <w:pPr>
        <w:pStyle w:val="Normal"/>
        <w:spacing w:lineRule="auto" w:line="480" w:before="0" w:after="0"/>
        <w:jc w:val="both"/>
        <w:rPr>
          <w:sz w:val="24"/>
          <w:szCs w:val="24"/>
        </w:rPr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f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2</m:t>
            </m:r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ln</m:t>
        </m:r>
        <m:f>
          <m:num>
            <m:r>
              <w:rPr>
                <w:rFonts w:ascii="Cambria Math" w:hAnsi="Cambria Math"/>
              </w:rPr>
              <m:t xml:space="preserve">1</m:t>
            </m:r>
          </m:num>
          <m:den>
            <m:d>
              <m:dPr>
                <m:begChr m:val="|"/>
                <m:endChr m:val="|"/>
              </m:dPr>
              <m:e>
                <m:r>
                  <w:rPr>
                    <w:rFonts w:ascii="Cambria Math" w:hAnsi="Cambria Math"/>
                  </w:rPr>
                  <m:t xml:space="preserve">−</m:t>
                </m:r>
                <m:r>
                  <w:rPr>
                    <w:rFonts w:ascii="Cambria Math" w:hAnsi="Cambria Math"/>
                  </w:rPr>
                  <m:t xml:space="preserve">2</m:t>
                </m:r>
              </m:e>
            </m:d>
          </m:den>
        </m:f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ln</m:t>
        </m:r>
        <m:f>
          <m:num>
            <m:r>
              <w:rPr>
                <w:rFonts w:ascii="Cambria Math" w:hAnsi="Cambria Math"/>
              </w:rPr>
              <m:t xml:space="preserve">1</m:t>
            </m:r>
          </m:num>
          <m:den>
            <m:r>
              <w:rPr>
                <w:rFonts w:ascii="Cambria Math" w:hAnsi="Cambria Math"/>
              </w:rPr>
              <m:t xml:space="preserve">2</m:t>
            </m:r>
          </m:den>
        </m:f>
      </m:oMath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και 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f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2</m:t>
            </m:r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ln</m:t>
        </m:r>
        <m:f>
          <m:num>
            <m:r>
              <w:rPr>
                <w:rFonts w:ascii="Cambria Math" w:hAnsi="Cambria Math"/>
              </w:rPr>
              <m:t xml:space="preserve">1</m:t>
            </m:r>
          </m:num>
          <m:den>
            <m:d>
              <m:dPr>
                <m:begChr m:val="|"/>
                <m:endChr m:val="|"/>
              </m:dPr>
              <m:e>
                <m:r>
                  <w:rPr>
                    <w:rFonts w:ascii="Cambria Math" w:hAnsi="Cambria Math"/>
                  </w:rPr>
                  <m:t xml:space="preserve">2</m:t>
                </m:r>
              </m:e>
            </m:d>
          </m:den>
        </m:f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ln</m:t>
        </m:r>
        <m:f>
          <m:num>
            <m:r>
              <w:rPr>
                <w:rFonts w:ascii="Cambria Math" w:hAnsi="Cambria Math"/>
              </w:rPr>
              <m:t xml:space="preserve">1</m:t>
            </m:r>
          </m:num>
          <m:den>
            <m:r>
              <w:rPr>
                <w:rFonts w:ascii="Cambria Math" w:hAnsi="Cambria Math"/>
              </w:rPr>
              <m:t xml:space="preserve">2</m:t>
            </m:r>
          </m:den>
        </m:f>
      </m:oMath>
      <w:r>
        <w:rPr>
          <w:sz w:val="24"/>
          <w:szCs w:val="24"/>
        </w:rPr>
        <w:t xml:space="preserve">  άρα 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f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2</m:t>
            </m:r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f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2</m:t>
            </m:r>
          </m:e>
        </m:d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spacing w:lineRule="auto" w:line="480" w:before="0" w:after="0"/>
        <w:jc w:val="both"/>
        <w:rPr>
          <w:sz w:val="24"/>
          <w:szCs w:val="24"/>
        </w:rPr>
      </w:pPr>
      <w:r>
        <w:rPr/>
      </w:r>
      <m:oMath xmlns:m="http://schemas.openxmlformats.org/officeDocument/2006/math"/>
    </w:p>
    <w:p>
      <w:pPr>
        <w:pStyle w:val="Normal"/>
        <w:spacing w:lineRule="auto" w:line="480" w:before="0" w:after="0"/>
        <w:jc w:val="both"/>
        <w:rPr>
          <w:sz w:val="24"/>
          <w:szCs w:val="24"/>
          <w:lang w:eastAsia="el-GR"/>
        </w:rPr>
      </w:pPr>
      <w:r>
        <w:rPr>
          <w:sz w:val="24"/>
          <w:szCs w:val="24"/>
          <w:lang w:val="en-US" w:eastAsia="el-GR"/>
        </w:rPr>
        <w:t>β</w:t>
      </w:r>
      <w:r>
        <w:rPr>
          <w:sz w:val="24"/>
          <w:szCs w:val="24"/>
          <w:lang w:eastAsia="el-GR"/>
        </w:rPr>
        <w:t xml:space="preserve">) Η συνάρτηση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f</m:t>
        </m:r>
      </m:oMath>
      <w:r>
        <w:rPr>
          <w:sz w:val="24"/>
          <w:szCs w:val="24"/>
          <w:lang w:eastAsia="el-GR"/>
        </w:rPr>
        <w:t xml:space="preserve"> είναι άρτια οπότε η γραφική της παράσταση είναι συμμετρική ως προς τον άξονα </w:t>
      </w:r>
      <w:r>
        <w:rPr>
          <w:sz w:val="24"/>
          <w:szCs w:val="24"/>
          <w:lang w:val="en-US" w:eastAsia="el-GR"/>
        </w:rPr>
        <w:t>y</w:t>
      </w:r>
      <w:r>
        <w:rPr>
          <w:sz w:val="24"/>
          <w:szCs w:val="24"/>
          <w:lang w:eastAsia="el-GR"/>
        </w:rPr>
        <w:t>’</w:t>
      </w:r>
      <w:r>
        <w:rPr>
          <w:sz w:val="24"/>
          <w:szCs w:val="24"/>
          <w:lang w:val="en-US" w:eastAsia="el-GR"/>
        </w:rPr>
        <w:t>y</w:t>
      </w:r>
      <w:r>
        <w:rPr>
          <w:sz w:val="24"/>
          <w:szCs w:val="24"/>
          <w:lang w:eastAsia="el-GR"/>
        </w:rPr>
        <w:t xml:space="preserve">. </w:t>
      </w:r>
    </w:p>
    <w:p>
      <w:pPr>
        <w:pStyle w:val="Normal"/>
        <w:spacing w:lineRule="auto" w:line="480" w:before="0" w:after="0"/>
        <w:jc w:val="both"/>
        <w:rPr>
          <w:sz w:val="24"/>
          <w:szCs w:val="24"/>
          <w:lang w:eastAsia="el-GR"/>
        </w:rPr>
      </w:pPr>
      <w:r>
        <w:rPr>
          <w:sz w:val="24"/>
          <w:szCs w:val="24"/>
          <w:lang w:eastAsia="el-GR"/>
        </w:rPr>
        <w:t xml:space="preserve">Για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&lt;</m:t>
        </m:r>
        <m:r>
          <w:rPr>
            <w:rFonts w:ascii="Cambria Math" w:hAnsi="Cambria Math"/>
          </w:rPr>
          <m:t xml:space="preserve">0</m:t>
        </m:r>
      </m:oMath>
      <w:r>
        <w:rPr/>
        <w:t xml:space="preserve"> </w:t>
      </w:r>
      <w:r>
        <w:rPr>
          <w:sz w:val="24"/>
          <w:szCs w:val="24"/>
          <w:lang w:eastAsia="el-GR"/>
        </w:rPr>
        <w:t xml:space="preserve">η γραφική παράσταση θα είναι συμμετρική της γραφικής παράστασης της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f</m:t>
        </m:r>
      </m:oMath>
      <w:r>
        <w:rPr>
          <w:sz w:val="24"/>
          <w:szCs w:val="24"/>
          <w:lang w:eastAsia="el-GR"/>
        </w:rPr>
        <w:t xml:space="preserve">  όπως δίνεται αυτή για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&gt;</m:t>
        </m:r>
        <m:r>
          <w:rPr>
            <w:rFonts w:ascii="Cambria Math" w:hAnsi="Cambria Math"/>
          </w:rPr>
          <m:t xml:space="preserve">0</m:t>
        </m:r>
      </m:oMath>
      <w:r>
        <w:rPr>
          <w:sz w:val="24"/>
          <w:szCs w:val="24"/>
          <w:lang w:eastAsia="el-GR"/>
        </w:rPr>
        <w:t xml:space="preserve"> , οπότε θα έχουμε:</w:t>
      </w:r>
    </w:p>
    <w:p>
      <w:pPr>
        <w:pStyle w:val="Normal"/>
        <w:spacing w:lineRule="auto" w:line="480" w:before="0" w:after="0"/>
        <w:jc w:val="both"/>
        <w:rPr>
          <w:sz w:val="24"/>
          <w:szCs w:val="24"/>
          <w:lang w:eastAsia="el-GR"/>
        </w:rPr>
      </w:pPr>
      <w:r>
        <w:rPr/>
        <w:drawing>
          <wp:inline distT="0" distB="0" distL="0" distR="0">
            <wp:extent cx="4801870" cy="3109595"/>
            <wp:effectExtent l="0" t="0" r="0" b="0"/>
            <wp:docPr id="1" name="Εικόνα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7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1870" cy="3109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480"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480"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480" w:before="0" w:after="0"/>
        <w:jc w:val="both"/>
        <w:rPr>
          <w:sz w:val="24"/>
          <w:szCs w:val="24"/>
        </w:rPr>
      </w:pPr>
      <w:r>
        <w:rPr/>
      </w:r>
    </w:p>
    <w:sectPr>
      <w:type w:val="nextPage"/>
      <w:pgSz w:w="11906" w:h="16838"/>
      <w:pgMar w:left="1418" w:right="1418" w:header="0" w:top="1418" w:footer="0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20"/>
  <w:autoHyphenation w:val="true"/>
  <w:compat/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Noto Sans Arabic UI"/>
        <w:szCs w:val="22"/>
        <w:lang w:val="el-G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76a6a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Noto Sans Arabic UI"/>
      <w:color w:val="auto"/>
      <w:kern w:val="0"/>
      <w:sz w:val="22"/>
      <w:szCs w:val="22"/>
      <w:lang w:val="el-GR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PlaceholderText">
    <w:name w:val="Placeholder Text"/>
    <w:basedOn w:val="DefaultParagraphFont"/>
    <w:qFormat/>
    <w:rsid w:val="00476a6a"/>
    <w:rPr>
      <w:color w:val="808080"/>
    </w:rPr>
  </w:style>
  <w:style w:type="character" w:styleId="Style14">
    <w:name w:val="Σύνδεσμος διαδικτύου"/>
    <w:basedOn w:val="DefaultParagraphFont"/>
    <w:uiPriority w:val="99"/>
    <w:unhideWhenUsed/>
    <w:rsid w:val="006b0ed4"/>
    <w:rPr>
      <w:color w:val="0000FF" w:themeColor="hyperlink"/>
      <w:u w:val="single"/>
    </w:rPr>
  </w:style>
  <w:style w:type="character" w:styleId="Annotationreference">
    <w:name w:val="annotation reference"/>
    <w:basedOn w:val="DefaultParagraphFont"/>
    <w:qFormat/>
    <w:rsid w:val="00476a6a"/>
    <w:rPr>
      <w:sz w:val="16"/>
      <w:szCs w:val="16"/>
    </w:rPr>
  </w:style>
  <w:style w:type="character" w:styleId="Char" w:customStyle="1">
    <w:name w:val="Κείμενο σχολίου Char"/>
    <w:basedOn w:val="DefaultParagraphFont"/>
    <w:qFormat/>
    <w:rsid w:val="00476a6a"/>
    <w:rPr>
      <w:szCs w:val="20"/>
    </w:rPr>
  </w:style>
  <w:style w:type="character" w:styleId="Char1" w:customStyle="1">
    <w:name w:val="Θέμα σχολίου Char"/>
    <w:basedOn w:val="Char"/>
    <w:qFormat/>
    <w:rsid w:val="00476a6a"/>
    <w:rPr>
      <w:b/>
      <w:bCs/>
      <w:szCs w:val="20"/>
    </w:rPr>
  </w:style>
  <w:style w:type="character" w:styleId="Style15" w:customStyle="1">
    <w:name w:val="Αναγνωσμένος δεσμός διαδικτύου"/>
    <w:rsid w:val="00476a6a"/>
    <w:rPr>
      <w:color w:val="800000"/>
      <w:u w:val="single"/>
    </w:rPr>
  </w:style>
  <w:style w:type="character" w:styleId="Char2" w:customStyle="1">
    <w:name w:val="Κείμενο πλαισίου Char"/>
    <w:basedOn w:val="DefaultParagraphFont"/>
    <w:link w:val="af"/>
    <w:uiPriority w:val="99"/>
    <w:semiHidden/>
    <w:qFormat/>
    <w:rsid w:val="00ec7f64"/>
    <w:rPr>
      <w:rFonts w:ascii="Tahoma" w:hAnsi="Tahoma" w:cs="Tahoma"/>
      <w:sz w:val="16"/>
      <w:szCs w:val="16"/>
    </w:rPr>
  </w:style>
  <w:style w:type="paragraph" w:styleId="Style16" w:customStyle="1">
    <w:name w:val="Επικεφαλίδα"/>
    <w:basedOn w:val="Normal"/>
    <w:next w:val="Style17"/>
    <w:qFormat/>
    <w:rsid w:val="00476a6a"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rsid w:val="00476a6a"/>
    <w:pPr>
      <w:spacing w:lineRule="auto" w:line="276" w:before="0" w:after="140"/>
    </w:pPr>
    <w:rPr/>
  </w:style>
  <w:style w:type="paragraph" w:styleId="Style18">
    <w:name w:val="List"/>
    <w:basedOn w:val="Style17"/>
    <w:rsid w:val="00476a6a"/>
    <w:pPr/>
    <w:rPr>
      <w:rFonts w:cs="Lohit Devanagari"/>
    </w:rPr>
  </w:style>
  <w:style w:type="paragraph" w:styleId="Style19" w:customStyle="1">
    <w:name w:val="Caption"/>
    <w:basedOn w:val="Normal"/>
    <w:qFormat/>
    <w:rsid w:val="00476a6a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 w:customStyle="1">
    <w:name w:val="Ευρετήριο"/>
    <w:basedOn w:val="Normal"/>
    <w:qFormat/>
    <w:rsid w:val="00476a6a"/>
    <w:pPr>
      <w:suppressLineNumbers/>
    </w:pPr>
    <w:rPr>
      <w:rFonts w:cs="Lohit Devanagari"/>
    </w:rPr>
  </w:style>
  <w:style w:type="paragraph" w:styleId="Caption">
    <w:name w:val="caption"/>
    <w:basedOn w:val="Normal"/>
    <w:qFormat/>
    <w:rsid w:val="00476a6a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Default" w:customStyle="1">
    <w:name w:val="Default"/>
    <w:qFormat/>
    <w:rsid w:val="00476a6a"/>
    <w:pPr>
      <w:widowControl/>
      <w:suppressAutoHyphens w:val="true"/>
      <w:bidi w:val="0"/>
      <w:spacing w:before="0" w:after="0"/>
      <w:jc w:val="left"/>
    </w:pPr>
    <w:rPr>
      <w:rFonts w:ascii="Tahoma" w:hAnsi="Tahoma" w:eastAsia="Calibri" w:cs="Tahoma"/>
      <w:color w:val="000000"/>
      <w:kern w:val="0"/>
      <w:sz w:val="24"/>
      <w:szCs w:val="24"/>
      <w:lang w:val="el-GR" w:eastAsia="en-US" w:bidi="ar-SA"/>
    </w:rPr>
  </w:style>
  <w:style w:type="paragraph" w:styleId="Annotationtext">
    <w:name w:val="annotation text"/>
    <w:basedOn w:val="Normal"/>
    <w:qFormat/>
    <w:rsid w:val="00476a6a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rsid w:val="00476a6a"/>
    <w:pPr/>
    <w:rPr>
      <w:b/>
      <w:bCs/>
    </w:rPr>
  </w:style>
  <w:style w:type="paragraph" w:styleId="Style21" w:customStyle="1">
    <w:name w:val="Περιεχόμενα πίνακα"/>
    <w:basedOn w:val="Normal"/>
    <w:qFormat/>
    <w:rsid w:val="00476a6a"/>
    <w:pPr>
      <w:suppressLineNumbers/>
    </w:pPr>
    <w:rPr/>
  </w:style>
  <w:style w:type="paragraph" w:styleId="BalloonText">
    <w:name w:val="Balloon Text"/>
    <w:basedOn w:val="Normal"/>
    <w:link w:val="Char1"/>
    <w:uiPriority w:val="99"/>
    <w:semiHidden/>
    <w:unhideWhenUsed/>
    <w:qFormat/>
    <w:rsid w:val="00ec7f6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LibreOffice/6.4.7.2$Linux_X86_64 LibreOffice_project/40$Build-2</Application>
  <Pages>1</Pages>
  <Words>44</Words>
  <Characters>201</Characters>
  <CharactersWithSpaces>261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2022-01-25T12:20:00Z</dcterms:created>
  <dc:creator>Χασάπης</dc:creator>
  <dc:description/>
  <dc:language>el-GR</dc:language>
  <cp:lastModifiedBy>Sotiris Chasapis</cp:lastModifiedBy>
  <cp:lastPrinted>2022-01-25T12:19:00Z</cp:lastPrinted>
  <dcterms:modified xsi:type="dcterms:W3CDTF">2022-04-20T21:17:23Z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