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AEE" w:rsidRPr="001E3186" w:rsidRDefault="00C76A6F" w:rsidP="001E3186">
      <w:pPr>
        <w:spacing w:line="360" w:lineRule="auto"/>
        <w:rPr>
          <w:b/>
          <w:color w:val="000000"/>
          <w:sz w:val="24"/>
          <w:szCs w:val="24"/>
        </w:rPr>
      </w:pPr>
      <w:bookmarkStart w:id="0" w:name="_heading=h.gjdgxs" w:colFirst="0" w:colLast="0"/>
      <w:bookmarkEnd w:id="0"/>
      <w:r w:rsidRPr="001E3186">
        <w:rPr>
          <w:b/>
          <w:color w:val="000000"/>
          <w:sz w:val="24"/>
          <w:szCs w:val="24"/>
        </w:rPr>
        <w:t xml:space="preserve">ΘΕΜΑ 4 </w:t>
      </w:r>
    </w:p>
    <w:p w:rsidR="00A12AEE" w:rsidRPr="001E3186" w:rsidRDefault="00C76A6F" w:rsidP="001E3186">
      <w:pPr>
        <w:spacing w:line="360" w:lineRule="auto"/>
        <w:rPr>
          <w:sz w:val="24"/>
          <w:szCs w:val="24"/>
        </w:rPr>
      </w:pPr>
      <w:r w:rsidRPr="001E3186">
        <w:rPr>
          <w:b/>
          <w:color w:val="000000"/>
          <w:sz w:val="24"/>
          <w:szCs w:val="24"/>
        </w:rPr>
        <w:t>4.1 Η αμοιβαδοειδής δυσεντερία είναι λοίμωξη που προκαλείται από την ιστολυτική αμοιβάδα (</w:t>
      </w:r>
      <w:proofErr w:type="spellStart"/>
      <w:r w:rsidRPr="001E3186">
        <w:rPr>
          <w:b/>
          <w:i/>
          <w:color w:val="000000"/>
          <w:sz w:val="24"/>
          <w:szCs w:val="24"/>
        </w:rPr>
        <w:t>Entamoeba</w:t>
      </w:r>
      <w:proofErr w:type="spellEnd"/>
      <w:r w:rsidRPr="001E3186">
        <w:rPr>
          <w:b/>
          <w:i/>
          <w:color w:val="000000"/>
          <w:sz w:val="24"/>
          <w:szCs w:val="24"/>
        </w:rPr>
        <w:t xml:space="preserve"> </w:t>
      </w:r>
      <w:proofErr w:type="spellStart"/>
      <w:r w:rsidRPr="001E3186">
        <w:rPr>
          <w:b/>
          <w:i/>
          <w:color w:val="000000"/>
          <w:sz w:val="24"/>
          <w:szCs w:val="24"/>
        </w:rPr>
        <w:t>histolytica</w:t>
      </w:r>
      <w:proofErr w:type="spellEnd"/>
      <w:r w:rsidRPr="001E3186">
        <w:rPr>
          <w:b/>
          <w:color w:val="000000"/>
          <w:sz w:val="24"/>
          <w:szCs w:val="24"/>
        </w:rPr>
        <w:t xml:space="preserve">). Η μετάδοση </w:t>
      </w:r>
      <w:r w:rsidRPr="001E3186">
        <w:rPr>
          <w:b/>
          <w:sz w:val="24"/>
          <w:szCs w:val="24"/>
        </w:rPr>
        <w:t xml:space="preserve">του πρωτόζωου </w:t>
      </w:r>
      <w:r w:rsidRPr="001E3186">
        <w:rPr>
          <w:b/>
          <w:color w:val="000000"/>
          <w:sz w:val="24"/>
          <w:szCs w:val="24"/>
        </w:rPr>
        <w:t xml:space="preserve">γίνεται κυρίως από μολυσμένη τροφή </w:t>
      </w:r>
      <w:r w:rsidRPr="001E3186">
        <w:rPr>
          <w:b/>
          <w:sz w:val="24"/>
          <w:szCs w:val="24"/>
        </w:rPr>
        <w:t>ή/και</w:t>
      </w:r>
      <w:r w:rsidRPr="001E3186">
        <w:rPr>
          <w:b/>
          <w:color w:val="000000"/>
          <w:sz w:val="24"/>
          <w:szCs w:val="24"/>
        </w:rPr>
        <w:t xml:space="preserve"> νερό. Ο μικροοργανισμός αυτός, είτε παρασιτεί στο έντερο του ατόμου που έχει μολυνθεί, χωρίς να προκαλεί συμπτώματα, είτε προκαλεί χρόνια διάρροια. Εάν δεν υπάρξει έγκαιρη διάγνωση, υπάρχει κίνδυνος η λοίμωξη να προχωρήσει κι άλλο, προσβάλλοντας το ήπαρ, τους πνεύμονες και τον εγκέφαλο (πιο σπάνια).</w:t>
      </w:r>
    </w:p>
    <w:p w:rsidR="00A12AEE" w:rsidRPr="001E3186" w:rsidRDefault="00C76A6F" w:rsidP="001E3186">
      <w:pPr>
        <w:spacing w:line="360" w:lineRule="auto"/>
        <w:rPr>
          <w:sz w:val="24"/>
          <w:szCs w:val="24"/>
        </w:rPr>
      </w:pPr>
      <w:r w:rsidRPr="001E3186">
        <w:rPr>
          <w:color w:val="000000"/>
          <w:sz w:val="24"/>
          <w:szCs w:val="24"/>
        </w:rPr>
        <w:t xml:space="preserve">α. Να εξηγήσετε αν η χορήγηση ιντερφερονών </w:t>
      </w:r>
      <w:r w:rsidRPr="001E3186">
        <w:rPr>
          <w:sz w:val="24"/>
          <w:szCs w:val="24"/>
        </w:rPr>
        <w:t xml:space="preserve">συνιστάται </w:t>
      </w:r>
      <w:r w:rsidRPr="001E3186">
        <w:rPr>
          <w:color w:val="000000"/>
          <w:sz w:val="24"/>
          <w:szCs w:val="24"/>
        </w:rPr>
        <w:t>ως αγωγή για τη θεραπεία ασθενών με αμοιβαδοειδή δυσεντερία (μονάδες 6).</w:t>
      </w:r>
    </w:p>
    <w:p w:rsidR="00A12AEE" w:rsidRPr="001E3186" w:rsidRDefault="00C76A6F" w:rsidP="001E3186">
      <w:pPr>
        <w:spacing w:line="360" w:lineRule="auto"/>
        <w:rPr>
          <w:sz w:val="24"/>
          <w:szCs w:val="24"/>
        </w:rPr>
      </w:pPr>
      <w:r w:rsidRPr="001E3186">
        <w:rPr>
          <w:color w:val="000000"/>
          <w:sz w:val="24"/>
          <w:szCs w:val="24"/>
        </w:rPr>
        <w:t xml:space="preserve">β. Μετά τη μόλυνση ενός ανθρώπου για πρώτη φορά από ιστολυτική αμοιβάδα ενεργοποιήθηκε η μη ειδική και η ειδική του άμυνα για να αντιμετωπίσει το πρωτόζωο. Να γράψετε ποια από τα παρακάτω κύτταρα του ανοσοβιολογικού συστήματος πιστεύετε ότι θα ενεργοποιηθούν κατά την ειδική άμυνα (μονάδες </w:t>
      </w:r>
      <w:r w:rsidR="008930CC">
        <w:rPr>
          <w:color w:val="000000"/>
          <w:sz w:val="24"/>
          <w:szCs w:val="24"/>
        </w:rPr>
        <w:t>2</w:t>
      </w:r>
      <w:r w:rsidRPr="001E3186">
        <w:rPr>
          <w:color w:val="000000"/>
          <w:sz w:val="24"/>
          <w:szCs w:val="24"/>
        </w:rPr>
        <w:t>):</w:t>
      </w:r>
    </w:p>
    <w:p w:rsidR="00A12AEE" w:rsidRPr="001E3186" w:rsidRDefault="00C76A6F" w:rsidP="001E3186">
      <w:pPr>
        <w:spacing w:line="360" w:lineRule="auto"/>
        <w:rPr>
          <w:sz w:val="24"/>
          <w:szCs w:val="24"/>
        </w:rPr>
      </w:pPr>
      <w:r w:rsidRPr="001E3186">
        <w:rPr>
          <w:i/>
          <w:color w:val="000000"/>
          <w:sz w:val="24"/>
          <w:szCs w:val="24"/>
        </w:rPr>
        <w:t>βοηθητικά Τ-λεμφοκύτταρα, ουδετερόφιλα, κυτταροτοξικά Τ-λεμφοκύτταρα</w:t>
      </w:r>
      <w:r w:rsidR="007026FB">
        <w:rPr>
          <w:i/>
          <w:color w:val="000000"/>
          <w:sz w:val="24"/>
          <w:szCs w:val="24"/>
        </w:rPr>
        <w:t>,</w:t>
      </w:r>
      <w:r w:rsidR="001E3186" w:rsidRPr="001E3186">
        <w:rPr>
          <w:i/>
          <w:color w:val="000000"/>
          <w:sz w:val="24"/>
          <w:szCs w:val="24"/>
        </w:rPr>
        <w:t xml:space="preserve"> </w:t>
      </w:r>
      <w:r w:rsidRPr="001E3186">
        <w:rPr>
          <w:i/>
          <w:color w:val="000000"/>
          <w:sz w:val="24"/>
          <w:szCs w:val="24"/>
        </w:rPr>
        <w:t>ειδικά κύτταρα που παρά</w:t>
      </w:r>
      <w:r w:rsidR="008930CC">
        <w:rPr>
          <w:i/>
          <w:color w:val="000000"/>
          <w:sz w:val="24"/>
          <w:szCs w:val="24"/>
        </w:rPr>
        <w:t xml:space="preserve">γουν ισταμίνη, πλασματοκύτταρα, </w:t>
      </w:r>
      <w:r w:rsidRPr="001E3186">
        <w:rPr>
          <w:i/>
          <w:color w:val="000000"/>
          <w:sz w:val="24"/>
          <w:szCs w:val="24"/>
        </w:rPr>
        <w:t>Β-λεμφοκύτταρα μνήμης</w:t>
      </w:r>
      <w:r w:rsidRPr="001E3186">
        <w:rPr>
          <w:color w:val="000000"/>
          <w:sz w:val="24"/>
          <w:szCs w:val="24"/>
        </w:rPr>
        <w:t xml:space="preserve">. Να αιτιολογήσετε την απάντησή σας (μονάδες </w:t>
      </w:r>
      <w:r w:rsidR="008930CC">
        <w:rPr>
          <w:color w:val="000000"/>
          <w:sz w:val="24"/>
          <w:szCs w:val="24"/>
        </w:rPr>
        <w:t>4</w:t>
      </w:r>
      <w:r w:rsidRPr="001E3186">
        <w:rPr>
          <w:color w:val="000000"/>
          <w:sz w:val="24"/>
          <w:szCs w:val="24"/>
        </w:rPr>
        <w:t>).</w:t>
      </w:r>
    </w:p>
    <w:p w:rsidR="00A12AEE" w:rsidRPr="001E3186" w:rsidRDefault="00C76A6F" w:rsidP="001E3186">
      <w:pPr>
        <w:spacing w:line="360" w:lineRule="auto"/>
        <w:jc w:val="right"/>
        <w:rPr>
          <w:sz w:val="24"/>
          <w:szCs w:val="24"/>
        </w:rPr>
      </w:pPr>
      <w:r w:rsidRPr="001E3186">
        <w:rPr>
          <w:b/>
          <w:color w:val="000000"/>
          <w:sz w:val="24"/>
          <w:szCs w:val="24"/>
        </w:rPr>
        <w:t>Μονάδες 12</w:t>
      </w:r>
    </w:p>
    <w:p w:rsidR="00A12AEE" w:rsidRDefault="00C76A6F" w:rsidP="00127699">
      <w:pPr>
        <w:spacing w:line="360" w:lineRule="auto"/>
        <w:rPr>
          <w:b/>
          <w:sz w:val="24"/>
          <w:szCs w:val="24"/>
        </w:rPr>
      </w:pPr>
      <w:r w:rsidRPr="001E3186">
        <w:rPr>
          <w:b/>
          <w:sz w:val="24"/>
          <w:szCs w:val="24"/>
        </w:rPr>
        <w:t>4.2 Τα κυτοχρώματα είναι πρωτεΐνες που παίζουν βασικό ρόλο στην κυτταρική αναπνοή των οργανισμών. Επειδή έχουν εντοπιστεί σε  όλα τα βασίλεια της ζωής όπως τα ζώα, φυτά, μύκητες και βακτήρια (ενώ</w:t>
      </w:r>
      <w:r w:rsidR="00DE13A0">
        <w:rPr>
          <w:b/>
          <w:sz w:val="24"/>
          <w:szCs w:val="24"/>
        </w:rPr>
        <w:t xml:space="preserve"> ακόμη και οι ιοί φέρουν γονίδια</w:t>
      </w:r>
      <w:r w:rsidRPr="001E3186">
        <w:rPr>
          <w:b/>
          <w:sz w:val="24"/>
          <w:szCs w:val="24"/>
        </w:rPr>
        <w:t xml:space="preserve"> τους) χρησιμοποιούνται σε εξελικτικές μελέτες, μέσω της σύγκρισης των αμινοξέων τους. Στον πίνακα που ακολουθεί παρουσιάζεται ο αριθμός των διαφορετικών αμινοξέων για το ίδιο κυτόχρωμα τεσσάρ</w:t>
      </w:r>
      <w:r w:rsidR="002914F6">
        <w:rPr>
          <w:b/>
          <w:sz w:val="24"/>
          <w:szCs w:val="24"/>
        </w:rPr>
        <w:t>ων ειδών θηλαστικών (Α, Β, Γ, Δ</w:t>
      </w:r>
      <w:r w:rsidRPr="001E3186">
        <w:rPr>
          <w:b/>
          <w:sz w:val="24"/>
          <w:szCs w:val="24"/>
        </w:rPr>
        <w:t>).</w:t>
      </w:r>
    </w:p>
    <w:p w:rsidR="00127699" w:rsidRPr="00127699" w:rsidRDefault="00127699" w:rsidP="00127699">
      <w:pPr>
        <w:spacing w:line="240" w:lineRule="auto"/>
        <w:rPr>
          <w:b/>
          <w:sz w:val="24"/>
          <w:szCs w:val="24"/>
        </w:rPr>
      </w:pPr>
    </w:p>
    <w:tbl>
      <w:tblPr>
        <w:tblStyle w:val="aa"/>
        <w:tblW w:w="5785" w:type="dxa"/>
        <w:jc w:val="center"/>
        <w:tblInd w:w="0" w:type="dxa"/>
        <w:tblLayout w:type="fixed"/>
        <w:tblLook w:val="0400" w:firstRow="0" w:lastRow="0" w:firstColumn="0" w:lastColumn="0" w:noHBand="0" w:noVBand="1"/>
      </w:tblPr>
      <w:tblGrid>
        <w:gridCol w:w="4000"/>
        <w:gridCol w:w="1785"/>
      </w:tblGrid>
      <w:tr w:rsidR="00A12AEE" w:rsidRPr="001E3186" w:rsidTr="00127699">
        <w:trPr>
          <w:trHeight w:val="293"/>
          <w:jc w:val="center"/>
        </w:trPr>
        <w:tc>
          <w:tcPr>
            <w:tcW w:w="4000" w:type="dxa"/>
            <w:vMerge w:val="restart"/>
            <w:tcBorders>
              <w:top w:val="single" w:sz="12" w:space="0" w:color="000000"/>
              <w:bottom w:val="single" w:sz="12" w:space="0" w:color="000000"/>
            </w:tcBorders>
            <w:shd w:val="clear" w:color="auto" w:fill="auto"/>
            <w:vAlign w:val="center"/>
          </w:tcPr>
          <w:p w:rsidR="000E1970" w:rsidRDefault="00C76A6F" w:rsidP="00127699">
            <w:pPr>
              <w:spacing w:line="240" w:lineRule="auto"/>
              <w:jc w:val="center"/>
              <w:rPr>
                <w:b/>
                <w:sz w:val="24"/>
                <w:szCs w:val="24"/>
              </w:rPr>
            </w:pPr>
            <w:r w:rsidRPr="001E3186">
              <w:rPr>
                <w:b/>
                <w:color w:val="000000"/>
                <w:sz w:val="24"/>
                <w:szCs w:val="24"/>
              </w:rPr>
              <w:t xml:space="preserve">ΕΙΔΗ </w:t>
            </w:r>
            <w:r w:rsidRPr="001E3186">
              <w:rPr>
                <w:b/>
                <w:sz w:val="24"/>
                <w:szCs w:val="24"/>
              </w:rPr>
              <w:t>ΠΟΥ ΣΥΓΚΡΙΝΟΝΤΑΙ</w:t>
            </w:r>
          </w:p>
          <w:p w:rsidR="00A12AEE" w:rsidRPr="001E3186" w:rsidRDefault="00C76A6F" w:rsidP="00127699">
            <w:pPr>
              <w:spacing w:line="240" w:lineRule="auto"/>
              <w:jc w:val="center"/>
              <w:rPr>
                <w:b/>
                <w:color w:val="000000"/>
                <w:sz w:val="24"/>
                <w:szCs w:val="24"/>
              </w:rPr>
            </w:pPr>
            <w:r w:rsidRPr="001E3186">
              <w:rPr>
                <w:b/>
                <w:color w:val="000000"/>
                <w:sz w:val="24"/>
                <w:szCs w:val="24"/>
              </w:rPr>
              <w:t>(ΑΝΑ ΔΥΟ)</w:t>
            </w:r>
          </w:p>
        </w:tc>
        <w:tc>
          <w:tcPr>
            <w:tcW w:w="1785" w:type="dxa"/>
            <w:vMerge w:val="restart"/>
            <w:tcBorders>
              <w:top w:val="single" w:sz="12" w:space="0" w:color="000000"/>
              <w:bottom w:val="single" w:sz="12" w:space="0" w:color="000000"/>
            </w:tcBorders>
            <w:shd w:val="clear" w:color="auto" w:fill="auto"/>
            <w:vAlign w:val="center"/>
          </w:tcPr>
          <w:p w:rsidR="00A12AEE" w:rsidRPr="001E3186" w:rsidRDefault="00127699" w:rsidP="00127699">
            <w:pPr>
              <w:spacing w:line="240" w:lineRule="auto"/>
              <w:jc w:val="center"/>
              <w:rPr>
                <w:b/>
                <w:color w:val="000000"/>
                <w:sz w:val="24"/>
                <w:szCs w:val="24"/>
              </w:rPr>
            </w:pPr>
            <w:r>
              <w:rPr>
                <w:b/>
                <w:color w:val="000000"/>
                <w:sz w:val="24"/>
                <w:szCs w:val="24"/>
              </w:rPr>
              <w:t>ΔΙΑΦΟΡΕΤΙΚΑ ΑΜΙΝΟΞΕΑ</w:t>
            </w:r>
          </w:p>
        </w:tc>
      </w:tr>
      <w:tr w:rsidR="00A12AEE" w:rsidRPr="001E3186" w:rsidTr="00127699">
        <w:trPr>
          <w:trHeight w:val="439"/>
          <w:jc w:val="center"/>
        </w:trPr>
        <w:tc>
          <w:tcPr>
            <w:tcW w:w="4000" w:type="dxa"/>
            <w:vMerge/>
            <w:tcBorders>
              <w:bottom w:val="single" w:sz="12" w:space="0" w:color="000000"/>
            </w:tcBorders>
            <w:shd w:val="clear" w:color="auto" w:fill="auto"/>
            <w:vAlign w:val="center"/>
          </w:tcPr>
          <w:p w:rsidR="00A12AEE" w:rsidRPr="001E3186" w:rsidRDefault="00A12AEE" w:rsidP="001E3186">
            <w:pPr>
              <w:widowControl w:val="0"/>
              <w:pBdr>
                <w:top w:val="nil"/>
                <w:left w:val="nil"/>
                <w:bottom w:val="nil"/>
                <w:right w:val="nil"/>
                <w:between w:val="nil"/>
              </w:pBdr>
              <w:spacing w:line="360" w:lineRule="auto"/>
              <w:jc w:val="left"/>
              <w:rPr>
                <w:b/>
                <w:color w:val="000000"/>
                <w:sz w:val="24"/>
                <w:szCs w:val="24"/>
              </w:rPr>
            </w:pPr>
          </w:p>
        </w:tc>
        <w:tc>
          <w:tcPr>
            <w:tcW w:w="1785" w:type="dxa"/>
            <w:vMerge/>
            <w:tcBorders>
              <w:bottom w:val="single" w:sz="12" w:space="0" w:color="000000"/>
            </w:tcBorders>
            <w:shd w:val="clear" w:color="auto" w:fill="auto"/>
            <w:vAlign w:val="center"/>
          </w:tcPr>
          <w:p w:rsidR="00A12AEE" w:rsidRPr="001E3186" w:rsidRDefault="00A12AEE" w:rsidP="001E3186">
            <w:pPr>
              <w:widowControl w:val="0"/>
              <w:pBdr>
                <w:top w:val="nil"/>
                <w:left w:val="nil"/>
                <w:bottom w:val="nil"/>
                <w:right w:val="nil"/>
                <w:between w:val="nil"/>
              </w:pBdr>
              <w:spacing w:line="360" w:lineRule="auto"/>
              <w:jc w:val="left"/>
              <w:rPr>
                <w:b/>
                <w:color w:val="000000"/>
                <w:sz w:val="24"/>
                <w:szCs w:val="24"/>
              </w:rPr>
            </w:pPr>
          </w:p>
        </w:tc>
      </w:tr>
      <w:tr w:rsidR="00A12AEE" w:rsidRPr="001E3186" w:rsidTr="00127699">
        <w:trPr>
          <w:trHeight w:val="284"/>
          <w:jc w:val="center"/>
        </w:trPr>
        <w:tc>
          <w:tcPr>
            <w:tcW w:w="4000" w:type="dxa"/>
            <w:tcBorders>
              <w:top w:val="single" w:sz="12"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Α-Β</w:t>
            </w:r>
          </w:p>
        </w:tc>
        <w:tc>
          <w:tcPr>
            <w:tcW w:w="1785" w:type="dxa"/>
            <w:tcBorders>
              <w:top w:val="single" w:sz="12"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12</w:t>
            </w:r>
          </w:p>
        </w:tc>
      </w:tr>
      <w:tr w:rsidR="00A12AEE" w:rsidRPr="001E3186" w:rsidTr="00127699">
        <w:trPr>
          <w:trHeight w:val="284"/>
          <w:jc w:val="center"/>
        </w:trPr>
        <w:tc>
          <w:tcPr>
            <w:tcW w:w="4000"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Α-Γ</w:t>
            </w:r>
          </w:p>
        </w:tc>
        <w:tc>
          <w:tcPr>
            <w:tcW w:w="1785"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9</w:t>
            </w:r>
          </w:p>
        </w:tc>
      </w:tr>
      <w:tr w:rsidR="00A12AEE" w:rsidRPr="001E3186" w:rsidTr="00127699">
        <w:trPr>
          <w:trHeight w:val="284"/>
          <w:jc w:val="center"/>
        </w:trPr>
        <w:tc>
          <w:tcPr>
            <w:tcW w:w="4000"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Α-Δ</w:t>
            </w:r>
          </w:p>
        </w:tc>
        <w:tc>
          <w:tcPr>
            <w:tcW w:w="1785"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3</w:t>
            </w:r>
          </w:p>
        </w:tc>
      </w:tr>
      <w:tr w:rsidR="00A12AEE" w:rsidRPr="001E3186" w:rsidTr="00127699">
        <w:trPr>
          <w:trHeight w:val="284"/>
          <w:jc w:val="center"/>
        </w:trPr>
        <w:tc>
          <w:tcPr>
            <w:tcW w:w="4000"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Β-Γ</w:t>
            </w:r>
          </w:p>
        </w:tc>
        <w:tc>
          <w:tcPr>
            <w:tcW w:w="1785"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10</w:t>
            </w:r>
          </w:p>
        </w:tc>
        <w:bookmarkStart w:id="1" w:name="_GoBack"/>
        <w:bookmarkEnd w:id="1"/>
      </w:tr>
      <w:tr w:rsidR="00A12AEE" w:rsidRPr="001E3186" w:rsidTr="00EB1FE1">
        <w:trPr>
          <w:trHeight w:val="315"/>
          <w:jc w:val="center"/>
        </w:trPr>
        <w:tc>
          <w:tcPr>
            <w:tcW w:w="4000"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Β-Δ</w:t>
            </w:r>
          </w:p>
        </w:tc>
        <w:tc>
          <w:tcPr>
            <w:tcW w:w="1785" w:type="dxa"/>
            <w:tcBorders>
              <w:top w:val="single" w:sz="8" w:space="0" w:color="000000"/>
              <w:bottom w:val="single" w:sz="8" w:space="0" w:color="000000"/>
            </w:tcBorders>
            <w:shd w:val="clear" w:color="auto" w:fill="auto"/>
            <w:vAlign w:val="center"/>
          </w:tcPr>
          <w:p w:rsidR="00A12AEE" w:rsidRPr="001E3186" w:rsidRDefault="00C76A6F" w:rsidP="001E3186">
            <w:pPr>
              <w:spacing w:line="360" w:lineRule="auto"/>
              <w:jc w:val="center"/>
              <w:rPr>
                <w:b/>
                <w:color w:val="000000"/>
                <w:sz w:val="24"/>
                <w:szCs w:val="24"/>
              </w:rPr>
            </w:pPr>
            <w:r w:rsidRPr="001E3186">
              <w:rPr>
                <w:b/>
                <w:color w:val="000000"/>
                <w:sz w:val="24"/>
                <w:szCs w:val="24"/>
              </w:rPr>
              <w:t>16</w:t>
            </w:r>
          </w:p>
        </w:tc>
      </w:tr>
      <w:tr w:rsidR="00EB1FE1" w:rsidRPr="001E3186" w:rsidTr="000E1970">
        <w:trPr>
          <w:trHeight w:val="315"/>
          <w:jc w:val="center"/>
        </w:trPr>
        <w:tc>
          <w:tcPr>
            <w:tcW w:w="4000" w:type="dxa"/>
            <w:tcBorders>
              <w:top w:val="single" w:sz="8" w:space="0" w:color="000000"/>
              <w:bottom w:val="single" w:sz="12" w:space="0" w:color="000000"/>
            </w:tcBorders>
            <w:shd w:val="clear" w:color="auto" w:fill="auto"/>
            <w:vAlign w:val="center"/>
          </w:tcPr>
          <w:p w:rsidR="00EB1FE1" w:rsidRPr="001E3186" w:rsidRDefault="00EB1FE1" w:rsidP="001E3186">
            <w:pPr>
              <w:spacing w:line="360" w:lineRule="auto"/>
              <w:jc w:val="center"/>
              <w:rPr>
                <w:b/>
                <w:color w:val="000000"/>
                <w:sz w:val="24"/>
                <w:szCs w:val="24"/>
              </w:rPr>
            </w:pPr>
            <w:r>
              <w:rPr>
                <w:b/>
                <w:color w:val="000000"/>
                <w:sz w:val="24"/>
                <w:szCs w:val="24"/>
              </w:rPr>
              <w:t>Γ-Δ</w:t>
            </w:r>
          </w:p>
        </w:tc>
        <w:tc>
          <w:tcPr>
            <w:tcW w:w="1785" w:type="dxa"/>
            <w:tcBorders>
              <w:top w:val="single" w:sz="8" w:space="0" w:color="000000"/>
              <w:bottom w:val="single" w:sz="12" w:space="0" w:color="000000"/>
            </w:tcBorders>
            <w:shd w:val="clear" w:color="auto" w:fill="auto"/>
            <w:vAlign w:val="center"/>
          </w:tcPr>
          <w:p w:rsidR="00EB1FE1" w:rsidRPr="001E3186" w:rsidRDefault="00EB1FE1" w:rsidP="001E3186">
            <w:pPr>
              <w:spacing w:line="360" w:lineRule="auto"/>
              <w:jc w:val="center"/>
              <w:rPr>
                <w:b/>
                <w:color w:val="000000"/>
                <w:sz w:val="24"/>
                <w:szCs w:val="24"/>
              </w:rPr>
            </w:pPr>
            <w:r>
              <w:rPr>
                <w:b/>
                <w:color w:val="000000"/>
                <w:sz w:val="24"/>
                <w:szCs w:val="24"/>
              </w:rPr>
              <w:t>6</w:t>
            </w:r>
          </w:p>
        </w:tc>
      </w:tr>
    </w:tbl>
    <w:p w:rsidR="00127699" w:rsidRDefault="00127699" w:rsidP="001E3186">
      <w:pPr>
        <w:pBdr>
          <w:top w:val="nil"/>
          <w:left w:val="nil"/>
          <w:bottom w:val="nil"/>
          <w:right w:val="nil"/>
          <w:between w:val="nil"/>
        </w:pBdr>
        <w:spacing w:line="360" w:lineRule="auto"/>
        <w:rPr>
          <w:color w:val="000000"/>
          <w:sz w:val="24"/>
          <w:szCs w:val="24"/>
        </w:rPr>
      </w:pPr>
    </w:p>
    <w:p w:rsidR="00A12AEE" w:rsidRPr="001E3186" w:rsidRDefault="00C76A6F" w:rsidP="001E3186">
      <w:pPr>
        <w:pBdr>
          <w:top w:val="nil"/>
          <w:left w:val="nil"/>
          <w:bottom w:val="nil"/>
          <w:right w:val="nil"/>
          <w:between w:val="nil"/>
        </w:pBdr>
        <w:spacing w:line="360" w:lineRule="auto"/>
        <w:rPr>
          <w:color w:val="000000"/>
          <w:sz w:val="24"/>
          <w:szCs w:val="24"/>
        </w:rPr>
      </w:pPr>
      <w:r w:rsidRPr="001E3186">
        <w:rPr>
          <w:color w:val="000000"/>
          <w:sz w:val="24"/>
          <w:szCs w:val="24"/>
        </w:rPr>
        <w:t xml:space="preserve">α. Να εξηγήσετε με ποιο τρόπο μπορεί να συνεισφέρει στις εξελικτικές μελέτες η σύγκριση των πρωτεϊνών διαφορετικών ειδών οργανισμών (μονάδες </w:t>
      </w:r>
      <w:r w:rsidRPr="001E3186">
        <w:rPr>
          <w:sz w:val="24"/>
          <w:szCs w:val="24"/>
        </w:rPr>
        <w:t>4</w:t>
      </w:r>
      <w:r w:rsidRPr="001E3186">
        <w:rPr>
          <w:color w:val="000000"/>
          <w:sz w:val="24"/>
          <w:szCs w:val="24"/>
        </w:rPr>
        <w:t xml:space="preserve">) και να αιτιολογήσετε ποιοι πιστεύετε ότι είναι οι δύο πιο συγγενικοί οργανισμοί </w:t>
      </w:r>
      <w:r w:rsidRPr="001E3186">
        <w:rPr>
          <w:sz w:val="24"/>
          <w:szCs w:val="24"/>
        </w:rPr>
        <w:t xml:space="preserve">(από άποψη εξέλιξης) </w:t>
      </w:r>
      <w:r w:rsidRPr="001E3186">
        <w:rPr>
          <w:color w:val="000000"/>
          <w:sz w:val="24"/>
          <w:szCs w:val="24"/>
        </w:rPr>
        <w:t xml:space="preserve">με βάση τον πίνακα (μονάδες </w:t>
      </w:r>
      <w:r w:rsidRPr="001E3186">
        <w:rPr>
          <w:sz w:val="24"/>
          <w:szCs w:val="24"/>
        </w:rPr>
        <w:t>2</w:t>
      </w:r>
      <w:r>
        <w:rPr>
          <w:color w:val="000000"/>
          <w:sz w:val="24"/>
          <w:szCs w:val="24"/>
        </w:rPr>
        <w:t>).</w:t>
      </w:r>
    </w:p>
    <w:p w:rsidR="00A12AEE" w:rsidRPr="001E3186" w:rsidRDefault="00C76A6F" w:rsidP="001E3186">
      <w:pPr>
        <w:spacing w:line="360" w:lineRule="auto"/>
        <w:rPr>
          <w:sz w:val="24"/>
          <w:szCs w:val="24"/>
        </w:rPr>
      </w:pPr>
      <w:bookmarkStart w:id="2" w:name="_heading=h.30j0zll" w:colFirst="0" w:colLast="0"/>
      <w:bookmarkEnd w:id="2"/>
      <w:r w:rsidRPr="001E3186">
        <w:rPr>
          <w:sz w:val="24"/>
          <w:szCs w:val="24"/>
        </w:rPr>
        <w:t xml:space="preserve">β. Να αναφέρετε ποια άλλα δεδομένα από τον κλάδο της μοριακής βιολογίας, εκτός από την σύγκριση των πρωτεϊνών, χρησιμοποιούν οι επιστήμονες για να μελετήσουν τη φυλογένεση (μονάδες 3) και να εξηγήσετε με ποιο τρόπο αυτά τα δεδομένα βοηθούν να κατανοήσουμε τις εξελικτικές σχέσεις μεταξύ των οργανισμών (μονάδες 4). </w:t>
      </w:r>
    </w:p>
    <w:p w:rsidR="00A12AEE" w:rsidRPr="001E3186" w:rsidRDefault="00C76A6F" w:rsidP="001E3186">
      <w:pPr>
        <w:spacing w:line="360" w:lineRule="auto"/>
        <w:jc w:val="right"/>
        <w:rPr>
          <w:color w:val="000000"/>
          <w:sz w:val="24"/>
          <w:szCs w:val="24"/>
        </w:rPr>
      </w:pPr>
      <w:bookmarkStart w:id="3" w:name="_heading=h.6pjrfu813hxw" w:colFirst="0" w:colLast="0"/>
      <w:bookmarkEnd w:id="3"/>
      <w:r w:rsidRPr="001E3186">
        <w:rPr>
          <w:b/>
          <w:color w:val="000000"/>
          <w:sz w:val="24"/>
          <w:szCs w:val="24"/>
        </w:rPr>
        <w:t>Μονάδες 13</w:t>
      </w:r>
    </w:p>
    <w:p w:rsidR="00A12AEE" w:rsidRPr="001E3186" w:rsidRDefault="00A12AEE" w:rsidP="001E3186">
      <w:pPr>
        <w:spacing w:line="360" w:lineRule="auto"/>
        <w:rPr>
          <w:sz w:val="24"/>
          <w:szCs w:val="24"/>
        </w:rPr>
      </w:pPr>
    </w:p>
    <w:sectPr w:rsidR="00A12AEE" w:rsidRPr="001E3186">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00"/>
    <w:family w:val="auto"/>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EE"/>
    <w:rsid w:val="000E1970"/>
    <w:rsid w:val="00127699"/>
    <w:rsid w:val="001E3186"/>
    <w:rsid w:val="002914F6"/>
    <w:rsid w:val="00424882"/>
    <w:rsid w:val="004E3788"/>
    <w:rsid w:val="005E54DC"/>
    <w:rsid w:val="007026FB"/>
    <w:rsid w:val="0073573B"/>
    <w:rsid w:val="008930CC"/>
    <w:rsid w:val="00A12AEE"/>
    <w:rsid w:val="00C76A6F"/>
    <w:rsid w:val="00DE13A0"/>
    <w:rsid w:val="00E6694E"/>
    <w:rsid w:val="00EB1FE1"/>
    <w:rsid w:val="00F57A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0899E"/>
  <w15:docId w15:val="{6A3A8D0E-4660-4E82-91FB-CE34E24C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annotation reference"/>
    <w:basedOn w:val="a0"/>
    <w:uiPriority w:val="99"/>
    <w:semiHidden/>
    <w:unhideWhenUsed/>
    <w:rsid w:val="004C3C86"/>
    <w:rPr>
      <w:sz w:val="16"/>
      <w:szCs w:val="16"/>
    </w:rPr>
  </w:style>
  <w:style w:type="paragraph" w:styleId="a5">
    <w:name w:val="annotation text"/>
    <w:basedOn w:val="a"/>
    <w:link w:val="Char"/>
    <w:uiPriority w:val="99"/>
    <w:semiHidden/>
    <w:unhideWhenUsed/>
    <w:rsid w:val="004C3C86"/>
    <w:pPr>
      <w:spacing w:line="240" w:lineRule="auto"/>
    </w:pPr>
    <w:rPr>
      <w:sz w:val="20"/>
      <w:szCs w:val="20"/>
    </w:rPr>
  </w:style>
  <w:style w:type="character" w:customStyle="1" w:styleId="Char">
    <w:name w:val="Κείμενο σχολίου Char"/>
    <w:basedOn w:val="a0"/>
    <w:link w:val="a5"/>
    <w:uiPriority w:val="99"/>
    <w:semiHidden/>
    <w:rsid w:val="004C3C86"/>
    <w:rPr>
      <w:rFonts w:ascii="Calibri" w:eastAsia="Calibri" w:hAnsi="Calibri" w:cs="Calibri"/>
      <w:sz w:val="20"/>
      <w:szCs w:val="20"/>
      <w:lang w:eastAsia="el-GR"/>
    </w:rPr>
  </w:style>
  <w:style w:type="paragraph" w:styleId="a6">
    <w:name w:val="annotation subject"/>
    <w:basedOn w:val="a5"/>
    <w:next w:val="a5"/>
    <w:link w:val="Char0"/>
    <w:uiPriority w:val="99"/>
    <w:semiHidden/>
    <w:unhideWhenUsed/>
    <w:rsid w:val="004C3C86"/>
    <w:rPr>
      <w:b/>
      <w:bCs/>
    </w:rPr>
  </w:style>
  <w:style w:type="character" w:customStyle="1" w:styleId="Char0">
    <w:name w:val="Θέμα σχολίου Char"/>
    <w:basedOn w:val="Char"/>
    <w:link w:val="a6"/>
    <w:uiPriority w:val="99"/>
    <w:semiHidden/>
    <w:rsid w:val="004C3C86"/>
    <w:rPr>
      <w:rFonts w:ascii="Calibri" w:eastAsia="Calibri" w:hAnsi="Calibri" w:cs="Calibri"/>
      <w:b/>
      <w:bCs/>
      <w:sz w:val="20"/>
      <w:szCs w:val="20"/>
      <w:lang w:eastAsia="el-GR"/>
    </w:rPr>
  </w:style>
  <w:style w:type="paragraph" w:styleId="a7">
    <w:name w:val="Balloon Text"/>
    <w:basedOn w:val="a"/>
    <w:link w:val="Char1"/>
    <w:uiPriority w:val="99"/>
    <w:semiHidden/>
    <w:unhideWhenUsed/>
    <w:rsid w:val="004C3C86"/>
    <w:pPr>
      <w:spacing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4C3C86"/>
    <w:rPr>
      <w:rFonts w:ascii="Segoe UI" w:eastAsia="Calibri" w:hAnsi="Segoe UI" w:cs="Segoe UI"/>
      <w:sz w:val="18"/>
      <w:szCs w:val="18"/>
      <w:lang w:eastAsia="el-GR"/>
    </w:rPr>
  </w:style>
  <w:style w:type="paragraph" w:styleId="Web">
    <w:name w:val="Normal (Web)"/>
    <w:basedOn w:val="a"/>
    <w:uiPriority w:val="99"/>
    <w:semiHidden/>
    <w:unhideWhenUsed/>
    <w:rsid w:val="00DD7E6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0"/>
    <w:tblPr>
      <w:tblStyleRowBandSize w:val="1"/>
      <w:tblStyleColBandSize w:val="1"/>
      <w:tblCellMar>
        <w:top w:w="100" w:type="dxa"/>
        <w:left w:w="100" w:type="dxa"/>
        <w:bottom w:w="100" w:type="dxa"/>
        <w:right w:w="100" w:type="dxa"/>
      </w:tblCellMar>
    </w:tblPr>
  </w:style>
  <w:style w:type="character" w:styleId="-">
    <w:name w:val="Hyperlink"/>
    <w:basedOn w:val="a0"/>
    <w:uiPriority w:val="99"/>
    <w:semiHidden/>
    <w:unhideWhenUsed/>
    <w:rsid w:val="00A02DC2"/>
    <w:rPr>
      <w:color w:val="0000FF"/>
      <w:u w:val="single"/>
    </w:rPr>
  </w:style>
  <w:style w:type="table" w:customStyle="1" w:styleId="a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deM7k5EDhTw8OfB6X99oOBfSzw==">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319</Words>
  <Characters>1959</Characters>
  <Application>Microsoft Office Word</Application>
  <DocSecurity>0</DocSecurity>
  <Lines>33</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15</cp:revision>
  <dcterms:created xsi:type="dcterms:W3CDTF">2022-02-06T11:29:00Z</dcterms:created>
  <dcterms:modified xsi:type="dcterms:W3CDTF">2022-02-10T16:48:00Z</dcterms:modified>
</cp:coreProperties>
</file>