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FC91D" w14:textId="77777777" w:rsidR="009E5B87" w:rsidRPr="008C50C1" w:rsidRDefault="00DF29EC">
      <w:pPr>
        <w:rPr>
          <w:b/>
        </w:rPr>
      </w:pPr>
      <w:r>
        <w:rPr>
          <w:b/>
        </w:rPr>
        <w:t>ΘΕΜΑ Β      Ενδεικτικές απαντήσεις</w:t>
      </w:r>
    </w:p>
    <w:p w14:paraId="5B732850" w14:textId="77777777" w:rsidR="001777BE" w:rsidRPr="008C50C1" w:rsidRDefault="001777BE" w:rsidP="001777BE">
      <w:pPr>
        <w:spacing w:line="240" w:lineRule="auto"/>
        <w:contextualSpacing/>
        <w:rPr>
          <w:b/>
        </w:rPr>
      </w:pPr>
      <w:r>
        <w:rPr>
          <w:b/>
          <w:lang w:val="en-US"/>
        </w:rPr>
        <w:t>B</w:t>
      </w:r>
      <w:r w:rsidRPr="008C50C1">
        <w:rPr>
          <w:b/>
        </w:rPr>
        <w:t xml:space="preserve">1. </w:t>
      </w:r>
    </w:p>
    <w:p w14:paraId="6BDE698A" w14:textId="2C3CA018" w:rsidR="001777BE" w:rsidRPr="00D777BE" w:rsidRDefault="001777BE" w:rsidP="001777BE">
      <w:pPr>
        <w:spacing w:line="240" w:lineRule="auto"/>
        <w:rPr>
          <w:b/>
        </w:rPr>
      </w:pPr>
      <w:r w:rsidRPr="001777BE">
        <w:rPr>
          <w:b/>
          <w:lang w:val="en-US"/>
        </w:rPr>
        <w:t>A</w:t>
      </w:r>
      <w:r w:rsidRPr="001777BE">
        <w:rPr>
          <w:b/>
        </w:rPr>
        <w:t xml:space="preserve">) </w:t>
      </w:r>
      <w:bookmarkStart w:id="0" w:name="_Hlk76138790"/>
      <w:r>
        <w:t xml:space="preserve">Σωστή απάντηση είναι η </w:t>
      </w:r>
      <w:bookmarkEnd w:id="0"/>
      <w:r w:rsidR="00D777BE">
        <w:rPr>
          <w:b/>
        </w:rPr>
        <w:t>γ)</w:t>
      </w:r>
    </w:p>
    <w:p w14:paraId="4E83C33A" w14:textId="45677A16" w:rsidR="001777BE" w:rsidRDefault="00C21D80" w:rsidP="001777BE">
      <w:pPr>
        <w:spacing w:line="240" w:lineRule="auto"/>
        <w:rPr>
          <w:u w:val="single"/>
        </w:rPr>
      </w:pPr>
      <w:r>
        <w:rPr>
          <w:noProof/>
          <w:u w:val="single"/>
          <w:lang w:eastAsia="ja-JP"/>
        </w:rPr>
        <w:drawing>
          <wp:anchor distT="0" distB="0" distL="114300" distR="114300" simplePos="0" relativeHeight="251656704" behindDoc="0" locked="0" layoutInCell="1" allowOverlap="1" wp14:anchorId="57A9F8F4" wp14:editId="580ED311">
            <wp:simplePos x="0" y="0"/>
            <wp:positionH relativeFrom="column">
              <wp:posOffset>3219450</wp:posOffset>
            </wp:positionH>
            <wp:positionV relativeFrom="paragraph">
              <wp:posOffset>8890</wp:posOffset>
            </wp:positionV>
            <wp:extent cx="2056765" cy="1199515"/>
            <wp:effectExtent l="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65" cy="1199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76138821"/>
      <w:r w:rsidR="001777BE">
        <w:rPr>
          <w:b/>
          <w:lang w:val="en-US"/>
        </w:rPr>
        <w:t>B</w:t>
      </w:r>
      <w:r w:rsidR="001777BE" w:rsidRPr="00C21D80">
        <w:rPr>
          <w:b/>
        </w:rPr>
        <w:t xml:space="preserve">) </w:t>
      </w:r>
      <w:r w:rsidR="001777BE">
        <w:rPr>
          <w:u w:val="single"/>
        </w:rPr>
        <w:t>Αιτιολόγηση</w:t>
      </w:r>
      <w:r w:rsidR="001777BE" w:rsidRPr="00C21D80">
        <w:rPr>
          <w:u w:val="single"/>
        </w:rPr>
        <w:t>:</w:t>
      </w:r>
      <w:bookmarkEnd w:id="1"/>
    </w:p>
    <w:p w14:paraId="2FE557B8" w14:textId="4D65B3BB" w:rsidR="001777BE" w:rsidRDefault="00C21D80" w:rsidP="00C21D80">
      <w:pPr>
        <w:spacing w:line="240" w:lineRule="auto"/>
        <w:contextualSpacing/>
        <w:jc w:val="both"/>
        <w:rPr>
          <w:rFonts w:eastAsiaTheme="minorEastAsia"/>
        </w:rPr>
      </w:pPr>
      <w:r>
        <w:t xml:space="preserve">Το κιβώτιο κινείται ευθύγραμμα και ομαλά στη διεύθυνση της ράμπας, με την επίδραση του βάρους του </w:t>
      </w:r>
      <m:oMath>
        <m:r>
          <w:rPr>
            <w:rFonts w:ascii="Cambria Math" w:hAnsi="Cambria Math"/>
          </w:rPr>
          <m:t> </m:t>
        </m:r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  <m:r>
          <w:rPr>
            <w:rFonts w:ascii="Cambria Math" w:hAnsi="Cambria Math"/>
          </w:rPr>
          <m:t> </m:t>
        </m:r>
      </m:oMath>
      <w:r>
        <w:rPr>
          <w:rFonts w:eastAsiaTheme="minorEastAsia"/>
        </w:rPr>
        <w:t xml:space="preserve">, της δύναμης </w:t>
      </w:r>
      <m:oMath>
        <m:r>
          <w:rPr>
            <w:rFonts w:ascii="Cambria Math" w:eastAsiaTheme="minorEastAsia" w:hAnsi="Cambria Math"/>
          </w:rPr>
          <m:t> </m:t>
        </m:r>
        <m:acc>
          <m:accPr>
            <m:chr m:val="⃗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</m:acc>
        <m:r>
          <w:rPr>
            <w:rFonts w:ascii="Cambria Math" w:eastAsiaTheme="minorEastAsia" w:hAnsi="Cambria Math"/>
          </w:rPr>
          <m:t> </m:t>
        </m:r>
      </m:oMath>
      <w:r w:rsidR="00110C44">
        <w:rPr>
          <w:rFonts w:eastAsiaTheme="minorEastAsia"/>
        </w:rPr>
        <w:t>που του ασκεί ο άνθρωπος</w:t>
      </w:r>
      <w:r>
        <w:rPr>
          <w:rFonts w:eastAsiaTheme="minorEastAsia"/>
        </w:rPr>
        <w:t xml:space="preserve"> και της κάθετης προς την ράμπα, δύναμης στήριξης από αυτήν.</w:t>
      </w:r>
    </w:p>
    <w:p w14:paraId="2E3A4D92" w14:textId="6D16C973" w:rsidR="00C21D80" w:rsidRDefault="00C21D80" w:rsidP="00C21D80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Αναλύουμε το βάρος σε άξονα </w:t>
      </w:r>
      <w:r>
        <w:rPr>
          <w:rFonts w:eastAsiaTheme="minorEastAsia"/>
          <w:lang w:val="en-US"/>
        </w:rPr>
        <w:t>x</w:t>
      </w:r>
      <w:r>
        <w:rPr>
          <w:rFonts w:eastAsiaTheme="minorEastAsia"/>
        </w:rPr>
        <w:t>΄</w:t>
      </w:r>
      <w:r>
        <w:rPr>
          <w:rFonts w:eastAsiaTheme="minorEastAsia"/>
          <w:lang w:val="en-US"/>
        </w:rPr>
        <w:t>x</w:t>
      </w:r>
      <w:r w:rsidRPr="00C21D80">
        <w:rPr>
          <w:rFonts w:eastAsiaTheme="minorEastAsia"/>
        </w:rPr>
        <w:t xml:space="preserve"> </w:t>
      </w:r>
      <w:r>
        <w:rPr>
          <w:rFonts w:eastAsiaTheme="minorEastAsia"/>
        </w:rPr>
        <w:t xml:space="preserve">παράλληλο στη ράμπα και άξονα </w:t>
      </w:r>
      <w:r>
        <w:rPr>
          <w:rFonts w:eastAsiaTheme="minorEastAsia"/>
          <w:lang w:val="en-US"/>
        </w:rPr>
        <w:t>y</w:t>
      </w:r>
      <w:r>
        <w:rPr>
          <w:rFonts w:eastAsiaTheme="minorEastAsia"/>
        </w:rPr>
        <w:t>΄</w:t>
      </w:r>
      <w:r>
        <w:rPr>
          <w:rFonts w:eastAsiaTheme="minorEastAsia"/>
          <w:lang w:val="en-US"/>
        </w:rPr>
        <w:t>y</w:t>
      </w:r>
      <w:r w:rsidRPr="00C21D80">
        <w:rPr>
          <w:rFonts w:eastAsiaTheme="minorEastAsia"/>
        </w:rPr>
        <w:t xml:space="preserve"> </w:t>
      </w:r>
      <w:r>
        <w:rPr>
          <w:rFonts w:eastAsiaTheme="minorEastAsia"/>
        </w:rPr>
        <w:t xml:space="preserve">κάθετο σε αυτήν. </w:t>
      </w:r>
    </w:p>
    <w:p w14:paraId="1E3B3FEF" w14:textId="68F217C0" w:rsidR="00C21D80" w:rsidRDefault="00C21D80" w:rsidP="00C21D80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Στη διεύθυνση της ράμπας η συνισταμένη των δυνάμεων είναι μηδέν, επειδή κινείται το κιβώτιο με σταθερή ταχύτητα. </w:t>
      </w:r>
    </w:p>
    <w:p w14:paraId="2A861CC3" w14:textId="5E415889" w:rsidR="00C21D80" w:rsidRDefault="00C21D80" w:rsidP="00C21D80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Άρα ισχύει</w:t>
      </w:r>
      <w:r w:rsidRPr="00214C9E">
        <w:rPr>
          <w:rFonts w:eastAsiaTheme="minorEastAsia"/>
        </w:rPr>
        <w:t>:</w:t>
      </w:r>
      <w:r>
        <w:rPr>
          <w:rFonts w:eastAsiaTheme="minorEastAsia"/>
        </w:rPr>
        <w:t xml:space="preserve">  </w:t>
      </w:r>
      <w:r w:rsidR="00214C9E" w:rsidRPr="00214C9E">
        <w:rPr>
          <w:rFonts w:eastAsiaTheme="minorEastAsia"/>
        </w:rPr>
        <w:t xml:space="preserve">                 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 Σ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  <m:r>
          <w:rPr>
            <w:rFonts w:ascii="Cambria Math" w:eastAsiaTheme="minorEastAsia" w:hAnsi="Cambria Math"/>
          </w:rPr>
          <m:t>=0 </m:t>
        </m:r>
      </m:oMath>
    </w:p>
    <w:p w14:paraId="0BEE6321" w14:textId="1B4FFF35" w:rsidR="00214C9E" w:rsidRPr="007D63EC" w:rsidRDefault="00214C9E" w:rsidP="00C21D80">
      <w:pPr>
        <w:spacing w:line="240" w:lineRule="auto"/>
        <w:contextualSpacing/>
        <w:jc w:val="both"/>
        <w:rPr>
          <w:rFonts w:eastAsiaTheme="minorEastAsia"/>
        </w:rPr>
      </w:pPr>
      <w:r w:rsidRPr="007D63EC">
        <w:rPr>
          <w:rFonts w:eastAsiaTheme="minorEastAsia"/>
        </w:rPr>
        <w:t xml:space="preserve">                 </w:t>
      </w:r>
      <w:r>
        <w:rPr>
          <w:rFonts w:eastAsiaTheme="minorEastAsia"/>
        </w:rPr>
        <w:t xml:space="preserve">ή      </w:t>
      </w:r>
      <w:r w:rsidRPr="007D63EC">
        <w:rPr>
          <w:rFonts w:eastAsiaTheme="minorEastAsia"/>
        </w:rPr>
        <w:t xml:space="preserve">    </w:t>
      </w:r>
      <w:r>
        <w:rPr>
          <w:rFonts w:eastAsiaTheme="minorEastAsia"/>
        </w:rPr>
        <w:t xml:space="preserve">     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/>
          </w:rPr>
          <m:t>=0</m:t>
        </m:r>
        <m:r>
          <w:rPr>
            <w:rFonts w:ascii="Cambria Math" w:eastAsiaTheme="minorEastAsia" w:hAnsi="Cambria Math"/>
            <w:lang w:val="en-US"/>
          </w:rPr>
          <m:t> </m:t>
        </m:r>
      </m:oMath>
      <w:r w:rsidRPr="007D63EC">
        <w:rPr>
          <w:rFonts w:eastAsiaTheme="minorEastAsia"/>
        </w:rPr>
        <w:t xml:space="preserve"> </w:t>
      </w:r>
    </w:p>
    <w:p w14:paraId="66FE54D7" w14:textId="40D70A39" w:rsidR="00214C9E" w:rsidRDefault="00214C9E" w:rsidP="00C21D80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 xml:space="preserve">       </w:t>
      </w:r>
      <w:r w:rsidRPr="00214C9E">
        <w:rPr>
          <w:rFonts w:eastAsiaTheme="minorEastAsia"/>
        </w:rPr>
        <w:t xml:space="preserve"> </w:t>
      </w:r>
      <w:r>
        <w:rPr>
          <w:rFonts w:eastAsiaTheme="minorEastAsia"/>
        </w:rPr>
        <w:t xml:space="preserve">οπότε         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x</m:t>
            </m:r>
          </m:sub>
        </m:sSub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  <w:lang w:val="en-US"/>
          </w:rPr>
          <m:t>B</m:t>
        </m:r>
        <m:r>
          <w:rPr>
            <w:rFonts w:ascii="Cambria Math" w:eastAsiaTheme="minorEastAsia" w:hAnsi="Cambria Math"/>
          </w:rPr>
          <m:t>∙ημφ </m:t>
        </m:r>
      </m:oMath>
      <w:r>
        <w:rPr>
          <w:rFonts w:eastAsiaTheme="minorEastAsia"/>
        </w:rPr>
        <w:t xml:space="preserve">,   όπου </w:t>
      </w:r>
      <m:oMath>
        <m:r>
          <w:rPr>
            <w:rFonts w:ascii="Cambria Math" w:eastAsiaTheme="minorEastAsia" w:hAnsi="Cambria Math"/>
          </w:rPr>
          <m:t> φ</m:t>
        </m:r>
      </m:oMath>
      <w:r>
        <w:rPr>
          <w:rFonts w:eastAsiaTheme="minorEastAsia"/>
        </w:rPr>
        <w:t> η γωνία της ράμπας με το οριζόντιο δάπεδο.</w:t>
      </w:r>
    </w:p>
    <w:p w14:paraId="3DF112DD" w14:textId="495B70E3" w:rsidR="00214C9E" w:rsidRDefault="00214C9E" w:rsidP="00C21D80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</w:rPr>
        <w:t xml:space="preserve">Τελικά, επειδή  ισχύει  </w:t>
      </w:r>
      <m:oMath>
        <m:r>
          <w:rPr>
            <w:rFonts w:ascii="Cambria Math" w:eastAsiaTheme="minorEastAsia" w:hAnsi="Cambria Math"/>
          </w:rPr>
          <m:t> ημφ&lt;1 </m:t>
        </m:r>
      </m:oMath>
      <w:r>
        <w:rPr>
          <w:rFonts w:eastAsiaTheme="minorEastAsia"/>
        </w:rPr>
        <w:t xml:space="preserve">   είναι   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&lt;B </m:t>
        </m:r>
      </m:oMath>
      <w:r w:rsidRPr="00214C9E">
        <w:rPr>
          <w:rFonts w:eastAsiaTheme="minorEastAsia"/>
        </w:rPr>
        <w:t xml:space="preserve">,      </w:t>
      </w:r>
      <w:r>
        <w:rPr>
          <w:rFonts w:eastAsiaTheme="minorEastAsia"/>
        </w:rPr>
        <w:t xml:space="preserve">δηλαδή      </w:t>
      </w:r>
      <m:oMath>
        <m:r>
          <w:rPr>
            <w:rFonts w:ascii="Cambria Math" w:eastAsiaTheme="minorEastAsia" w:hAnsi="Cambria Math"/>
          </w:rPr>
          <m:t> </m:t>
        </m:r>
        <m:r>
          <m:rPr>
            <m:sty m:val="bi"/>
          </m:rPr>
          <w:rPr>
            <w:rFonts w:ascii="Cambria Math" w:eastAsiaTheme="minorEastAsia" w:hAnsi="Cambria Math"/>
            <w:lang w:val="en-US"/>
          </w:rPr>
          <m:t>F</m:t>
        </m:r>
        <m:r>
          <m:rPr>
            <m:sty m:val="bi"/>
          </m:rPr>
          <w:rPr>
            <w:rFonts w:ascii="Cambria Math" w:eastAsiaTheme="minorEastAsia" w:hAnsi="Cambria Math"/>
          </w:rPr>
          <m:t xml:space="preserve">&lt;1000 </m:t>
        </m:r>
        <m:r>
          <m:rPr>
            <m:sty m:val="b"/>
          </m:rPr>
          <w:rPr>
            <w:rFonts w:ascii="Cambria Math" w:eastAsiaTheme="minorEastAsia" w:hAnsi="Cambria Math"/>
          </w:rPr>
          <m:t>N</m:t>
        </m:r>
        <m:r>
          <m:rPr>
            <m:sty m:val="p"/>
          </m:rPr>
          <w:rPr>
            <w:rFonts w:ascii="Cambria Math" w:eastAsiaTheme="minorEastAsia" w:hAnsi="Cambria Math"/>
          </w:rPr>
          <m:t> </m:t>
        </m:r>
      </m:oMath>
    </w:p>
    <w:p w14:paraId="540688C2" w14:textId="19B96195" w:rsidR="00214C9E" w:rsidRDefault="00214C9E" w:rsidP="00C21D80">
      <w:pPr>
        <w:spacing w:line="240" w:lineRule="auto"/>
        <w:contextualSpacing/>
        <w:jc w:val="both"/>
        <w:rPr>
          <w:rFonts w:eastAsiaTheme="minorEastAsia"/>
          <w:iCs/>
        </w:rPr>
      </w:pPr>
    </w:p>
    <w:p w14:paraId="77E14234" w14:textId="3D748FE7" w:rsidR="00214C9E" w:rsidRPr="007D63EC" w:rsidRDefault="00214C9E" w:rsidP="00C21D80">
      <w:pPr>
        <w:spacing w:line="240" w:lineRule="auto"/>
        <w:contextualSpacing/>
        <w:jc w:val="both"/>
        <w:rPr>
          <w:rFonts w:eastAsiaTheme="minorEastAsia"/>
          <w:b/>
          <w:bCs/>
          <w:iCs/>
        </w:rPr>
      </w:pPr>
      <w:r>
        <w:rPr>
          <w:rFonts w:eastAsiaTheme="minorEastAsia"/>
          <w:b/>
          <w:bCs/>
          <w:iCs/>
          <w:lang w:val="en-US"/>
        </w:rPr>
        <w:t>B</w:t>
      </w:r>
      <w:r w:rsidRPr="007D63EC">
        <w:rPr>
          <w:rFonts w:eastAsiaTheme="minorEastAsia"/>
          <w:b/>
          <w:bCs/>
          <w:iCs/>
        </w:rPr>
        <w:t xml:space="preserve">2. </w:t>
      </w:r>
    </w:p>
    <w:p w14:paraId="3BC1552E" w14:textId="56C8B0DE" w:rsidR="00214C9E" w:rsidRPr="00D777BE" w:rsidRDefault="00214C9E" w:rsidP="00214C9E">
      <w:pPr>
        <w:spacing w:line="240" w:lineRule="auto"/>
        <w:jc w:val="both"/>
        <w:rPr>
          <w:rFonts w:eastAsiaTheme="minorEastAsia"/>
          <w:iCs/>
        </w:rPr>
      </w:pPr>
      <w:r w:rsidRPr="00214C9E">
        <w:rPr>
          <w:rFonts w:eastAsiaTheme="minorEastAsia"/>
          <w:b/>
          <w:bCs/>
          <w:iCs/>
          <w:lang w:val="en-US"/>
        </w:rPr>
        <w:t>A</w:t>
      </w:r>
      <w:r w:rsidRPr="00214C9E">
        <w:rPr>
          <w:rFonts w:eastAsiaTheme="minorEastAsia"/>
          <w:b/>
          <w:bCs/>
          <w:iCs/>
        </w:rPr>
        <w:t xml:space="preserve">) </w:t>
      </w:r>
      <w:r>
        <w:t xml:space="preserve">Σωστή απάντηση είναι η </w:t>
      </w:r>
      <w:r w:rsidR="00D777BE">
        <w:rPr>
          <w:b/>
        </w:rPr>
        <w:t>γ)</w:t>
      </w:r>
    </w:p>
    <w:p w14:paraId="3D0E02A6" w14:textId="14347CA5" w:rsidR="00C21D80" w:rsidRDefault="003E00AF" w:rsidP="00C21D80">
      <w:pPr>
        <w:spacing w:line="240" w:lineRule="auto"/>
        <w:jc w:val="both"/>
        <w:rPr>
          <w:u w:val="single"/>
        </w:rPr>
      </w:pPr>
      <w:r>
        <w:rPr>
          <w:iCs/>
          <w:noProof/>
          <w:lang w:eastAsia="ja-JP"/>
        </w:rPr>
        <w:drawing>
          <wp:anchor distT="0" distB="0" distL="114300" distR="114300" simplePos="0" relativeHeight="251660800" behindDoc="0" locked="0" layoutInCell="1" allowOverlap="1" wp14:anchorId="021223B6" wp14:editId="50FA0799">
            <wp:simplePos x="0" y="0"/>
            <wp:positionH relativeFrom="column">
              <wp:posOffset>3104515</wp:posOffset>
            </wp:positionH>
            <wp:positionV relativeFrom="paragraph">
              <wp:posOffset>13335</wp:posOffset>
            </wp:positionV>
            <wp:extent cx="2171700" cy="1363345"/>
            <wp:effectExtent l="0" t="0" r="0" b="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C9E">
        <w:rPr>
          <w:b/>
          <w:lang w:val="en-US"/>
        </w:rPr>
        <w:t>B</w:t>
      </w:r>
      <w:r w:rsidR="00214C9E" w:rsidRPr="00C21D80">
        <w:rPr>
          <w:b/>
        </w:rPr>
        <w:t xml:space="preserve">) </w:t>
      </w:r>
      <w:r w:rsidR="00214C9E">
        <w:rPr>
          <w:u w:val="single"/>
        </w:rPr>
        <w:t>Αιτιολόγηση</w:t>
      </w:r>
      <w:r w:rsidR="00214C9E" w:rsidRPr="00C21D80">
        <w:rPr>
          <w:u w:val="single"/>
        </w:rPr>
        <w:t>:</w:t>
      </w:r>
    </w:p>
    <w:p w14:paraId="4CEFC3E9" w14:textId="15010EFC" w:rsidR="00214C9E" w:rsidRDefault="003E00AF" w:rsidP="003E00AF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iCs/>
        </w:rPr>
        <w:t xml:space="preserve">Το μέτρο της μετατόπισης του ποδηλάτη, από τη χρονική στιγμή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=0 </m:t>
        </m:r>
      </m:oMath>
      <w:r w:rsidRPr="003E00AF">
        <w:rPr>
          <w:rFonts w:eastAsiaTheme="minorEastAsia"/>
          <w:iCs/>
        </w:rPr>
        <w:t xml:space="preserve">, </w:t>
      </w:r>
      <w:r>
        <w:rPr>
          <w:rFonts w:eastAsiaTheme="minorEastAsia"/>
          <w:iCs/>
        </w:rPr>
        <w:t xml:space="preserve">μέχρι τη χρονική στιγμή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3E00AF">
        <w:rPr>
          <w:rFonts w:eastAsiaTheme="minorEastAsia"/>
          <w:iCs/>
        </w:rPr>
        <w:t xml:space="preserve">, </w:t>
      </w:r>
      <w:r>
        <w:rPr>
          <w:rFonts w:eastAsiaTheme="minorEastAsia"/>
          <w:iCs/>
        </w:rPr>
        <w:t>υπολογίζεται ως εμβαδόν του ορθογωνίου τριγώνου που δημιο</w:t>
      </w:r>
      <w:bookmarkStart w:id="2" w:name="_GoBack"/>
      <w:bookmarkEnd w:id="2"/>
      <w:r>
        <w:rPr>
          <w:rFonts w:eastAsiaTheme="minorEastAsia"/>
          <w:iCs/>
        </w:rPr>
        <w:t>υργείται από την γραφική παράσταση ταχύτητας χρόνου του ποδηλάτη και τον άξονα χρόνου για αυτό το χρονικό διάστημα.</w:t>
      </w:r>
      <w:r w:rsidRPr="003E00AF">
        <w:rPr>
          <w:rFonts w:eastAsiaTheme="minorEastAsia"/>
          <w:iCs/>
        </w:rPr>
        <w:t xml:space="preserve"> </w:t>
      </w:r>
    </w:p>
    <w:p w14:paraId="64A890EB" w14:textId="77777777" w:rsidR="003E00AF" w:rsidRDefault="003E00AF" w:rsidP="003E00AF">
      <w:pPr>
        <w:spacing w:line="240" w:lineRule="auto"/>
        <w:contextualSpacing/>
        <w:jc w:val="both"/>
        <w:rPr>
          <w:rFonts w:eastAsiaTheme="minorEastAsia"/>
          <w:iCs/>
        </w:rPr>
      </w:pPr>
    </w:p>
    <w:p w14:paraId="58A3916C" w14:textId="31CC6A21" w:rsidR="003E00AF" w:rsidRDefault="003E00AF" w:rsidP="003E00AF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 xml:space="preserve">Δηλαδή </w:t>
      </w:r>
      <w:r w:rsidRPr="007D63EC">
        <w:rPr>
          <w:rFonts w:eastAsiaTheme="minorEastAsia"/>
          <w:iCs/>
        </w:rPr>
        <w:t xml:space="preserve">:    </w:t>
      </w:r>
      <m:oMath>
        <m:r>
          <w:rPr>
            <w:rFonts w:ascii="Cambria Math" w:eastAsiaTheme="minorEastAsia" w:hAnsi="Cambria Math"/>
            <w:lang w:val="en-US"/>
          </w:rPr>
          <m:t> </m:t>
        </m:r>
        <m:r>
          <w:rPr>
            <w:rFonts w:ascii="Cambria Math" w:eastAsiaTheme="minorEastAsia" w:hAnsi="Cambria Math"/>
          </w:rPr>
          <m:t>Δ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x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=Eμβ</m:t>
        </m:r>
        <m:d>
          <m:dPr>
            <m:ctrlPr>
              <w:rPr>
                <w:rFonts w:ascii="Cambria Math" w:eastAsiaTheme="minorEastAsia" w:hAnsi="Cambria Math"/>
                <w:i/>
                <w:iCs/>
              </w:rPr>
            </m:ctrlPr>
          </m:dPr>
          <m:e>
            <m:r>
              <w:rPr>
                <w:rFonts w:ascii="Cambria Math" w:eastAsiaTheme="minorEastAsia" w:hAnsi="Cambria Math"/>
              </w:rPr>
              <m:t>ΑΒΓ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r>
              <w:rPr>
                <w:rFonts w:ascii="Cambria Math" w:eastAsiaTheme="minorEastAsia" w:hAnsi="Cambria Math"/>
              </w:rPr>
              <m:t>(ΑΒ)∙(ΒΓ)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iCs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iCs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 </m:t>
        </m:r>
      </m:oMath>
    </w:p>
    <w:p w14:paraId="0A1036E7" w14:textId="5DB30EE9" w:rsidR="003E00AF" w:rsidRDefault="003E00AF" w:rsidP="003E00AF">
      <w:pPr>
        <w:spacing w:line="240" w:lineRule="auto"/>
        <w:contextualSpacing/>
        <w:jc w:val="both"/>
        <w:rPr>
          <w:rFonts w:eastAsiaTheme="minorEastAsia"/>
          <w:iCs/>
        </w:rPr>
      </w:pPr>
    </w:p>
    <w:p w14:paraId="394FDBE8" w14:textId="7A3766EA" w:rsidR="009F54AB" w:rsidRDefault="009F54AB" w:rsidP="003E00AF">
      <w:pPr>
        <w:spacing w:line="240" w:lineRule="auto"/>
        <w:contextualSpacing/>
        <w:jc w:val="both"/>
        <w:rPr>
          <w:rFonts w:eastAsiaTheme="minorEastAsia"/>
          <w:iCs/>
        </w:rPr>
      </w:pPr>
      <w:r>
        <w:rPr>
          <w:rFonts w:eastAsiaTheme="minorEastAsia"/>
          <w:iCs/>
        </w:rPr>
        <w:t>Το μέτρο της μέσης ταχύτητας του ποδηλάτη σε αυτό το χρονικό διάστημα, είναι</w:t>
      </w:r>
      <w:r w:rsidRPr="009F54AB">
        <w:rPr>
          <w:rFonts w:eastAsiaTheme="minorEastAsia"/>
          <w:iCs/>
        </w:rPr>
        <w:t>:</w:t>
      </w:r>
    </w:p>
    <w:p w14:paraId="3A740E94" w14:textId="11600914" w:rsidR="009F54AB" w:rsidRDefault="009F54AB" w:rsidP="003E00AF">
      <w:pPr>
        <w:spacing w:line="240" w:lineRule="auto"/>
        <w:contextualSpacing/>
        <w:jc w:val="both"/>
        <w:rPr>
          <w:rFonts w:eastAsiaTheme="minorEastAsia"/>
          <w:iCs/>
        </w:rPr>
      </w:pPr>
    </w:p>
    <w:p w14:paraId="2C48F86B" w14:textId="6C70CC60" w:rsidR="009F54AB" w:rsidRPr="009F54AB" w:rsidRDefault="009F54AB" w:rsidP="003E00AF">
      <w:pPr>
        <w:spacing w:line="240" w:lineRule="auto"/>
        <w:contextualSpacing/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 </m:t>
          </m:r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</w:rPr>
                    <m:t>υ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</w:rPr>
                <m:t>2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Δ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2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Δ</m:t>
              </m:r>
              <m:r>
                <w:rPr>
                  <w:rFonts w:ascii="Cambria Math" w:eastAsiaTheme="minorEastAsia" w:hAnsi="Cambria Math"/>
                  <w:lang w:val="en-US"/>
                </w:rPr>
                <m:t>t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υ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</w:rPr>
                <m:t>2∙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b/>
                  <w:bCs/>
                  <w:i/>
                  <w:iCs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b/>
                      <w:bCs/>
                      <w:i/>
                      <w:i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υ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 </m:t>
          </m:r>
        </m:oMath>
      </m:oMathPara>
    </w:p>
    <w:p w14:paraId="51B560ED" w14:textId="77777777" w:rsidR="003E00AF" w:rsidRPr="003E00AF" w:rsidRDefault="003E00AF" w:rsidP="00C21D80">
      <w:pPr>
        <w:spacing w:line="240" w:lineRule="auto"/>
        <w:jc w:val="both"/>
        <w:rPr>
          <w:iCs/>
        </w:rPr>
      </w:pPr>
    </w:p>
    <w:sectPr w:rsidR="003E00AF" w:rsidRPr="003E00AF" w:rsidSect="009E5B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6C9F"/>
    <w:multiLevelType w:val="hybridMultilevel"/>
    <w:tmpl w:val="8318BEBC"/>
    <w:lvl w:ilvl="0" w:tplc="AE5C74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6088D"/>
    <w:multiLevelType w:val="hybridMultilevel"/>
    <w:tmpl w:val="7056F3BC"/>
    <w:lvl w:ilvl="0" w:tplc="61F20C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DF29EC"/>
    <w:rsid w:val="00110C44"/>
    <w:rsid w:val="001777BE"/>
    <w:rsid w:val="00214C9E"/>
    <w:rsid w:val="003E00AF"/>
    <w:rsid w:val="0054408B"/>
    <w:rsid w:val="00580BF0"/>
    <w:rsid w:val="007D63EC"/>
    <w:rsid w:val="008C50C1"/>
    <w:rsid w:val="009E5B87"/>
    <w:rsid w:val="009F54AB"/>
    <w:rsid w:val="00A14526"/>
    <w:rsid w:val="00A96199"/>
    <w:rsid w:val="00BD6591"/>
    <w:rsid w:val="00C21D80"/>
    <w:rsid w:val="00D777BE"/>
    <w:rsid w:val="00DF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EBC5"/>
  <w15:docId w15:val="{BB1DC9D6-19FC-4D1E-B5F5-EAA369EA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7B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7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777BE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A961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58210-44B4-4189-9F0D-40958C93B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7974A-C485-4C87-AB05-176DD121E3AB}">
  <ds:schemaRefs>
    <ds:schemaRef ds:uri="http://purl.org/dc/terms/"/>
    <ds:schemaRef ds:uri="http://purl.org/dc/elements/1.1/"/>
    <ds:schemaRef ds:uri="ea0a55cd-ae1c-459e-820a-62ca6fe5004a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e6921f4e-6864-4e6a-940a-9b465a3e021d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9884CF9-1367-4E32-B7A5-2C4D24172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Π Τ</cp:lastModifiedBy>
  <cp:revision>8</cp:revision>
  <dcterms:created xsi:type="dcterms:W3CDTF">2021-07-02T09:49:00Z</dcterms:created>
  <dcterms:modified xsi:type="dcterms:W3CDTF">2021-07-08T09:21:00Z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